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79E3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EF3475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8502B60">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65.020.30</w:t>
            </w:r>
            <w:r>
              <w:rPr>
                <w:rFonts w:ascii="黑体" w:hAnsi="黑体" w:eastAsia="黑体"/>
                <w:sz w:val="21"/>
                <w:szCs w:val="21"/>
              </w:rPr>
              <w:t xml:space="preserve"> </w:t>
            </w:r>
            <w:r>
              <w:rPr>
                <w:rFonts w:ascii="黑体" w:hAnsi="黑体" w:eastAsia="黑体"/>
                <w:sz w:val="21"/>
                <w:szCs w:val="21"/>
              </w:rPr>
              <w:fldChar w:fldCharType="end"/>
            </w:r>
            <w:bookmarkEnd w:id="0"/>
          </w:p>
        </w:tc>
      </w:tr>
      <w:tr w14:paraId="3ED82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83096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C33799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44</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9E7F34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6BA99A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61</w:t>
            </w:r>
            <w:r>
              <w:fldChar w:fldCharType="end"/>
            </w:r>
            <w:bookmarkEnd w:id="3"/>
          </w:p>
        </w:tc>
      </w:tr>
    </w:tbl>
    <w:p w14:paraId="232FBB9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陕西省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06224D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XXX.1</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201A5CF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50696E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6089CCD">
      <w:pPr>
        <w:pStyle w:val="50"/>
        <w:framePr w:w="9639" w:h="6976" w:hRule="exact" w:hSpace="0" w:vSpace="0" w:wrap="around" w:hAnchor="page" w:y="6408"/>
        <w:jc w:val="center"/>
        <w:rPr>
          <w:rFonts w:ascii="黑体" w:hAnsi="黑体" w:eastAsia="黑体"/>
          <w:b w:val="0"/>
          <w:bCs w:val="0"/>
          <w:w w:val="100"/>
        </w:rPr>
      </w:pPr>
    </w:p>
    <w:p w14:paraId="15BD8C1D">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 xml:space="preserve">复齿鼯鼠饲养管理规范  </w:t>
      </w:r>
    </w:p>
    <w:p w14:paraId="518184AA">
      <w:pPr>
        <w:pStyle w:val="197"/>
        <w:framePr w:h="6974" w:hRule="exact" w:wrap="around" w:x="1419" w:anchorLock="1"/>
      </w:pPr>
      <w:r>
        <w:fldChar w:fldCharType="end"/>
      </w:r>
      <w:bookmarkEnd w:id="9"/>
    </w:p>
    <w:p w14:paraId="49116CBD">
      <w:pPr>
        <w:framePr w:w="9639" w:h="6974" w:hRule="exact" w:wrap="around" w:vAnchor="page" w:hAnchor="page" w:x="1419" w:y="6408" w:anchorLock="1"/>
        <w:ind w:left="-1418"/>
      </w:pPr>
    </w:p>
    <w:p w14:paraId="6C0779C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Specification of Feeding management for compound-toothed flying squirrel </w:t>
      </w:r>
      <w:r>
        <w:rPr>
          <w:rFonts w:ascii="黑体" w:hAnsi="黑体" w:eastAsia="黑体"/>
          <w:szCs w:val="28"/>
        </w:rPr>
        <w:fldChar w:fldCharType="end"/>
      </w:r>
      <w:bookmarkEnd w:id="10"/>
    </w:p>
    <w:p w14:paraId="4CB13BCC">
      <w:pPr>
        <w:framePr w:w="9639" w:h="6974" w:hRule="exact" w:wrap="around" w:vAnchor="page" w:hAnchor="page" w:x="1419" w:y="6408" w:anchorLock="1"/>
        <w:spacing w:line="760" w:lineRule="exact"/>
        <w:ind w:left="-1418"/>
      </w:pPr>
    </w:p>
    <w:p w14:paraId="2346CC41">
      <w:pPr>
        <w:pStyle w:val="125"/>
        <w:framePr w:w="9639" w:h="6974" w:hRule="exact" w:wrap="around" w:vAnchor="page" w:hAnchor="page" w:x="1419" w:y="6408" w:anchorLock="1"/>
        <w:textAlignment w:val="bottom"/>
        <w:rPr>
          <w:rFonts w:eastAsia="黑体"/>
          <w:szCs w:val="28"/>
        </w:rPr>
      </w:pPr>
    </w:p>
    <w:p w14:paraId="2C5547E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BE45CF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844EE1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A0313F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133950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CAABF89">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陕西省市场监督管理局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B7AF21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84D4EA8">
      <w:pPr>
        <w:pStyle w:val="89"/>
        <w:numPr>
          <w:ilvl w:val="0"/>
          <w:numId w:val="0"/>
        </w:numPr>
        <w:spacing w:before="900" w:after="468"/>
        <w:ind w:leftChars="0"/>
        <w:jc w:val="center"/>
        <w:outlineLvl w:val="0"/>
        <w:rPr>
          <w:rFonts w:hint="eastAsia" w:ascii="宋体" w:hAnsi="宋体" w:eastAsia="宋体" w:cs="宋体"/>
          <w:spacing w:val="320"/>
          <w:lang w:val="en-US" w:eastAsia="zh-CN"/>
        </w:rPr>
      </w:pPr>
      <w:bookmarkStart w:id="21" w:name="BookMark2"/>
      <w:r>
        <w:rPr>
          <w:rFonts w:hint="eastAsia" w:ascii="宋体" w:hAnsi="宋体" w:eastAsia="宋体" w:cs="宋体"/>
          <w:spacing w:val="320"/>
          <w:lang w:val="en-US" w:eastAsia="zh-CN"/>
        </w:rPr>
        <w:t>目次</w:t>
      </w:r>
    </w:p>
    <w:p w14:paraId="713533EA">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前言……………………………………………………………………………………………Ⅱ</w:t>
      </w:r>
    </w:p>
    <w:p w14:paraId="2FB13B04">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1  范围…………………………………………………………………………………………1</w:t>
      </w:r>
    </w:p>
    <w:p w14:paraId="25B0A4B1">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2  规范性引用文件……………………………………………………………………………1</w:t>
      </w:r>
    </w:p>
    <w:p w14:paraId="074573CB">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3  术语和定义…………………………………………………………………………………1</w:t>
      </w:r>
    </w:p>
    <w:p w14:paraId="6967BB95">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 xml:space="preserve">4  </w:t>
      </w:r>
      <w:r>
        <w:rPr>
          <w:rFonts w:hint="eastAsia" w:ascii="宋体" w:hAnsi="宋体" w:cs="宋体"/>
          <w:lang w:val="en-US" w:eastAsia="zh-CN"/>
        </w:rPr>
        <w:t>场舍建设</w:t>
      </w:r>
      <w:r>
        <w:rPr>
          <w:rFonts w:hint="eastAsia" w:ascii="宋体" w:hAnsi="宋体" w:eastAsia="宋体" w:cs="宋体"/>
          <w:lang w:val="en-US" w:eastAsia="zh-CN"/>
        </w:rPr>
        <w:t>……………………………………………………………………………………</w:t>
      </w:r>
      <w:r>
        <w:rPr>
          <w:rFonts w:hint="eastAsia" w:ascii="宋体" w:hAnsi="宋体" w:cs="宋体"/>
          <w:lang w:val="en-US" w:eastAsia="zh-CN"/>
        </w:rPr>
        <w:t>2</w:t>
      </w:r>
    </w:p>
    <w:p w14:paraId="3DFDA513">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 xml:space="preserve">5  </w:t>
      </w:r>
      <w:r>
        <w:rPr>
          <w:rFonts w:hint="eastAsia" w:ascii="宋体" w:hAnsi="宋体" w:cs="宋体"/>
          <w:lang w:val="en-US" w:eastAsia="zh-CN"/>
        </w:rPr>
        <w:t>饲料饲养</w:t>
      </w:r>
      <w:r>
        <w:rPr>
          <w:rFonts w:hint="eastAsia" w:ascii="宋体" w:hAnsi="宋体" w:eastAsia="宋体" w:cs="宋体"/>
          <w:lang w:val="en-US" w:eastAsia="zh-CN"/>
        </w:rPr>
        <w:t>……………………………………………………………………………………</w:t>
      </w:r>
      <w:r>
        <w:rPr>
          <w:rFonts w:hint="eastAsia" w:ascii="宋体" w:hAnsi="宋体" w:cs="宋体"/>
          <w:lang w:val="en-US" w:eastAsia="zh-CN"/>
        </w:rPr>
        <w:t>4</w:t>
      </w:r>
    </w:p>
    <w:p w14:paraId="41C546F2">
      <w:pPr>
        <w:ind w:firstLine="630" w:firstLineChars="300"/>
        <w:jc w:val="both"/>
        <w:outlineLvl w:val="0"/>
        <w:rPr>
          <w:rFonts w:hint="eastAsia" w:ascii="宋体" w:hAnsi="宋体" w:eastAsia="宋体" w:cs="宋体"/>
          <w:lang w:val="en-US" w:eastAsia="zh-CN"/>
        </w:rPr>
      </w:pPr>
      <w:r>
        <w:rPr>
          <w:rFonts w:hint="eastAsia" w:ascii="宋体" w:hAnsi="宋体" w:eastAsia="宋体" w:cs="宋体"/>
          <w:lang w:val="en-US" w:eastAsia="zh-CN"/>
        </w:rPr>
        <w:t xml:space="preserve">6  </w:t>
      </w:r>
      <w:r>
        <w:rPr>
          <w:rFonts w:hint="eastAsia" w:ascii="宋体" w:hAnsi="宋体" w:cs="宋体"/>
          <w:lang w:val="en-US" w:eastAsia="zh-CN"/>
        </w:rPr>
        <w:t>五灵脂的采收与保存</w:t>
      </w:r>
      <w:r>
        <w:rPr>
          <w:rFonts w:hint="eastAsia" w:ascii="宋体" w:hAnsi="宋体" w:eastAsia="宋体" w:cs="宋体"/>
          <w:lang w:val="en-US" w:eastAsia="zh-CN"/>
        </w:rPr>
        <w:t>………………………………………………………………………</w:t>
      </w:r>
      <w:r>
        <w:rPr>
          <w:rFonts w:hint="eastAsia" w:ascii="宋体" w:hAnsi="宋体" w:cs="宋体"/>
          <w:lang w:val="en-US" w:eastAsia="zh-CN"/>
        </w:rPr>
        <w:t>5</w:t>
      </w:r>
    </w:p>
    <w:p w14:paraId="17D64882">
      <w:pPr>
        <w:ind w:firstLine="630" w:firstLineChars="300"/>
        <w:jc w:val="both"/>
        <w:outlineLvl w:val="0"/>
        <w:rPr>
          <w:rFonts w:hint="eastAsia" w:ascii="宋体" w:hAnsi="宋体" w:eastAsia="宋体" w:cs="宋体"/>
          <w:lang w:val="en-US" w:eastAsia="zh-CN"/>
        </w:rPr>
      </w:pPr>
      <w:r>
        <w:rPr>
          <w:rFonts w:hint="eastAsia" w:ascii="宋体" w:hAnsi="宋体" w:cs="宋体"/>
          <w:lang w:val="en-US" w:eastAsia="zh-CN"/>
        </w:rPr>
        <w:t>7  卫生防疫</w:t>
      </w:r>
      <w:r>
        <w:rPr>
          <w:rFonts w:hint="eastAsia" w:ascii="宋体" w:hAnsi="宋体" w:eastAsia="宋体" w:cs="宋体"/>
          <w:lang w:val="en-US" w:eastAsia="zh-CN"/>
        </w:rPr>
        <w:t>……………………………………………………………………………………</w:t>
      </w:r>
      <w:r>
        <w:rPr>
          <w:rFonts w:hint="eastAsia" w:ascii="宋体" w:hAnsi="宋体" w:cs="宋体"/>
          <w:lang w:val="en-US" w:eastAsia="zh-CN"/>
        </w:rPr>
        <w:t>6</w:t>
      </w:r>
    </w:p>
    <w:p w14:paraId="24273146">
      <w:pPr>
        <w:ind w:firstLine="630" w:firstLineChars="300"/>
        <w:jc w:val="both"/>
        <w:outlineLvl w:val="0"/>
        <w:rPr>
          <w:rFonts w:hint="default" w:ascii="宋体" w:hAnsi="宋体" w:eastAsia="宋体" w:cs="宋体"/>
          <w:lang w:val="en-US" w:eastAsia="zh-CN"/>
        </w:rPr>
      </w:pPr>
      <w:r>
        <w:rPr>
          <w:rFonts w:hint="eastAsia" w:ascii="宋体" w:hAnsi="宋体" w:cs="宋体"/>
          <w:lang w:val="en-US" w:eastAsia="zh-CN"/>
        </w:rPr>
        <w:t>8  生产记录</w:t>
      </w:r>
      <w:r>
        <w:rPr>
          <w:rFonts w:hint="eastAsia" w:ascii="宋体" w:hAnsi="宋体" w:eastAsia="宋体" w:cs="宋体"/>
          <w:lang w:val="en-US" w:eastAsia="zh-CN"/>
        </w:rPr>
        <w:t>……………………………………………………………………………………</w:t>
      </w:r>
      <w:r>
        <w:rPr>
          <w:rFonts w:hint="eastAsia" w:ascii="宋体" w:hAnsi="宋体" w:cs="宋体"/>
          <w:lang w:val="en-US" w:eastAsia="zh-CN"/>
        </w:rPr>
        <w:t>7</w:t>
      </w:r>
    </w:p>
    <w:p w14:paraId="334C9CED">
      <w:pPr>
        <w:jc w:val="center"/>
        <w:outlineLvl w:val="0"/>
        <w:rPr>
          <w:rFonts w:hint="default"/>
          <w:lang w:val="en-US" w:eastAsia="zh-CN"/>
        </w:rPr>
      </w:pPr>
    </w:p>
    <w:p w14:paraId="5D4ED368">
      <w:pPr>
        <w:pStyle w:val="89"/>
        <w:numPr>
          <w:ilvl w:val="0"/>
          <w:numId w:val="0"/>
        </w:numPr>
        <w:spacing w:before="900" w:after="468"/>
        <w:ind w:leftChars="0"/>
        <w:jc w:val="center"/>
        <w:rPr>
          <w:spacing w:val="320"/>
        </w:rPr>
      </w:pPr>
    </w:p>
    <w:p w14:paraId="7FB23A07">
      <w:pPr>
        <w:pStyle w:val="89"/>
        <w:numPr>
          <w:ilvl w:val="0"/>
          <w:numId w:val="0"/>
        </w:numPr>
        <w:spacing w:before="900" w:after="468"/>
        <w:ind w:leftChars="0"/>
        <w:jc w:val="center"/>
        <w:rPr>
          <w:spacing w:val="320"/>
        </w:rPr>
      </w:pPr>
    </w:p>
    <w:p w14:paraId="4DCF26EA">
      <w:pPr>
        <w:pStyle w:val="89"/>
        <w:numPr>
          <w:ilvl w:val="0"/>
          <w:numId w:val="0"/>
        </w:numPr>
        <w:spacing w:before="900" w:after="468"/>
        <w:ind w:leftChars="0"/>
        <w:jc w:val="center"/>
        <w:rPr>
          <w:spacing w:val="320"/>
        </w:rPr>
      </w:pPr>
    </w:p>
    <w:p w14:paraId="6A56FC2A">
      <w:pPr>
        <w:pStyle w:val="89"/>
        <w:numPr>
          <w:ilvl w:val="0"/>
          <w:numId w:val="0"/>
        </w:numPr>
        <w:spacing w:before="900" w:after="468"/>
        <w:ind w:leftChars="0"/>
        <w:jc w:val="center"/>
        <w:rPr>
          <w:spacing w:val="320"/>
        </w:rPr>
      </w:pPr>
    </w:p>
    <w:p w14:paraId="1F22424D">
      <w:pPr>
        <w:pStyle w:val="89"/>
        <w:numPr>
          <w:ilvl w:val="0"/>
          <w:numId w:val="0"/>
        </w:numPr>
        <w:spacing w:before="900" w:after="468"/>
        <w:ind w:leftChars="0"/>
        <w:jc w:val="both"/>
        <w:rPr>
          <w:spacing w:val="320"/>
        </w:rPr>
      </w:pPr>
    </w:p>
    <w:p w14:paraId="7A171C09"/>
    <w:p w14:paraId="6D7AE9D0">
      <w:pPr>
        <w:pStyle w:val="89"/>
        <w:numPr>
          <w:ilvl w:val="0"/>
          <w:numId w:val="0"/>
        </w:numPr>
        <w:spacing w:before="900" w:after="468"/>
        <w:ind w:leftChars="0"/>
        <w:jc w:val="center"/>
      </w:pPr>
      <w:r>
        <w:rPr>
          <w:spacing w:val="320"/>
        </w:rPr>
        <w:t>前</w:t>
      </w:r>
      <w:r>
        <w:t>言</w:t>
      </w:r>
    </w:p>
    <w:p w14:paraId="664D6FD9">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1E7C630C">
      <w:pPr>
        <w:pStyle w:val="56"/>
        <w:ind w:firstLine="420"/>
        <w:rPr>
          <w:rFonts w:hint="eastAsia" w:ascii="宋体" w:hAnsi="Times New Roman" w:eastAsia="宋体" w:cs="Times New Roman"/>
        </w:rPr>
      </w:pPr>
      <w:r>
        <w:rPr>
          <w:rFonts w:hint="eastAsia" w:ascii="宋体" w:hAnsi="Times New Roman" w:eastAsia="宋体" w:cs="Times New Roman"/>
        </w:rPr>
        <w:t>请注意本文件的某些内容可能涉及专利。本文件的发布机构不承担识别专利的责任。</w:t>
      </w:r>
    </w:p>
    <w:p w14:paraId="0FCA0035">
      <w:pPr>
        <w:pStyle w:val="56"/>
        <w:ind w:firstLine="420"/>
        <w:rPr>
          <w:rFonts w:hint="eastAsia" w:ascii="宋体" w:hAnsi="Times New Roman" w:eastAsia="宋体" w:cs="Times New Roman"/>
        </w:rPr>
      </w:pPr>
      <w:r>
        <w:rPr>
          <w:rFonts w:hint="eastAsia" w:ascii="宋体" w:hAnsi="Times New Roman" w:eastAsia="宋体" w:cs="Times New Roman"/>
        </w:rPr>
        <w:t>本文件由陕西省林业局提出并归口。</w:t>
      </w:r>
    </w:p>
    <w:p w14:paraId="091E86B2">
      <w:pPr>
        <w:pStyle w:val="56"/>
        <w:ind w:firstLine="420"/>
        <w:rPr>
          <w:rFonts w:hint="eastAsia" w:ascii="宋体" w:hAnsi="Times New Roman" w:eastAsia="宋体" w:cs="Times New Roman"/>
        </w:rPr>
      </w:pPr>
      <w:r>
        <w:rPr>
          <w:rFonts w:hint="eastAsia" w:ascii="宋体" w:hAnsi="Times New Roman" w:eastAsia="宋体" w:cs="Times New Roman"/>
        </w:rPr>
        <w:t>本文件起草单位：陕西省动物研究所、陕西新雨丹中药材生物科技有限公司、陕西省林业科学院、丹凤县林业局、洛南县科技资源统筹中心</w:t>
      </w:r>
      <w:r>
        <w:rPr>
          <w:rFonts w:hint="eastAsia" w:ascii="宋体" w:hAnsi="Times New Roman" w:eastAsia="宋体" w:cs="Times New Roman"/>
          <w:lang w:eastAsia="zh-CN"/>
        </w:rPr>
        <w:t>、</w:t>
      </w:r>
      <w:r>
        <w:rPr>
          <w:rFonts w:hint="eastAsia" w:ascii="宋体" w:hAnsi="Times New Roman" w:eastAsia="宋体" w:cs="Times New Roman"/>
          <w:lang w:val="en-US" w:eastAsia="zh-CN"/>
        </w:rPr>
        <w:t>丹凤</w:t>
      </w:r>
      <w:r>
        <w:rPr>
          <w:rFonts w:hint="eastAsia" w:ascii="宋体" w:hAnsi="Times New Roman" w:eastAsia="宋体" w:cs="Times New Roman"/>
        </w:rPr>
        <w:t>县科技资源统筹中心</w:t>
      </w:r>
      <w:r>
        <w:rPr>
          <w:rFonts w:hint="eastAsia" w:ascii="宋体" w:hAnsi="Times New Roman" w:eastAsia="宋体" w:cs="Times New Roman"/>
          <w:lang w:eastAsia="zh-CN"/>
        </w:rPr>
        <w:t>、</w:t>
      </w:r>
      <w:r>
        <w:rPr>
          <w:rFonts w:hint="eastAsia" w:ascii="宋体" w:hAnsi="Times New Roman" w:eastAsia="宋体" w:cs="Times New Roman"/>
        </w:rPr>
        <w:t>商洛昊农飞鼠养殖有限公司。</w:t>
      </w:r>
    </w:p>
    <w:p w14:paraId="7446F55B">
      <w:pPr>
        <w:pStyle w:val="56"/>
        <w:ind w:firstLine="420"/>
        <w:rPr>
          <w:rFonts w:hint="eastAsia" w:ascii="宋体" w:hAnsi="Times New Roman" w:eastAsia="宋体" w:cs="Times New Roman"/>
        </w:rPr>
      </w:pPr>
      <w:r>
        <w:rPr>
          <w:rFonts w:hint="eastAsia" w:ascii="宋体" w:hAnsi="Times New Roman" w:eastAsia="宋体" w:cs="Times New Roman"/>
        </w:rPr>
        <w:t>本文件主要起草人：车利锋、王海燕、李欢欢、童华、金学林、刘文华、</w:t>
      </w:r>
      <w:r>
        <w:rPr>
          <w:rFonts w:hint="eastAsia" w:ascii="宋体" w:hAnsi="Times New Roman" w:eastAsia="宋体" w:cs="Times New Roman"/>
          <w:lang w:val="en-US" w:eastAsia="zh-CN"/>
        </w:rPr>
        <w:t>刘艳华</w:t>
      </w:r>
      <w:r>
        <w:rPr>
          <w:rFonts w:hint="eastAsia" w:ascii="宋体" w:hAnsi="Times New Roman" w:eastAsia="宋体" w:cs="Times New Roman"/>
        </w:rPr>
        <w:t>、</w:t>
      </w:r>
      <w:r>
        <w:rPr>
          <w:rFonts w:hint="eastAsia" w:ascii="宋体" w:hAnsi="Times New Roman" w:eastAsia="宋体" w:cs="Times New Roman"/>
          <w:lang w:val="en-US" w:eastAsia="zh-CN"/>
        </w:rPr>
        <w:t>解勃、赵亚莉、</w:t>
      </w:r>
      <w:r>
        <w:rPr>
          <w:rFonts w:hint="eastAsia" w:ascii="宋体" w:hAnsi="Times New Roman" w:eastAsia="宋体" w:cs="Times New Roman"/>
        </w:rPr>
        <w:t>杨榜柱、</w:t>
      </w:r>
      <w:r>
        <w:rPr>
          <w:rFonts w:hint="eastAsia" w:ascii="宋体" w:hAnsi="Times New Roman" w:eastAsia="宋体" w:cs="Times New Roman"/>
          <w:lang w:val="en-US" w:eastAsia="zh-CN"/>
        </w:rPr>
        <w:t>樊军龙、李双俊、李书军、刘玉太、周浩。</w:t>
      </w:r>
    </w:p>
    <w:p w14:paraId="1F06C468">
      <w:pPr>
        <w:pStyle w:val="56"/>
        <w:ind w:firstLine="420"/>
        <w:rPr>
          <w:rFonts w:hint="eastAsia" w:ascii="宋体" w:hAnsi="Times New Roman" w:eastAsia="宋体" w:cs="Times New Roman"/>
        </w:rPr>
      </w:pPr>
      <w:r>
        <w:rPr>
          <w:rFonts w:hint="eastAsia" w:ascii="宋体" w:hAnsi="Times New Roman" w:eastAsia="宋体" w:cs="Times New Roman"/>
        </w:rPr>
        <w:t>本文件由陕西省动物研究所负责解释。</w:t>
      </w:r>
    </w:p>
    <w:p w14:paraId="6410521C">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46" w:name="_GoBack"/>
      <w:bookmarkEnd w:id="46"/>
    </w:p>
    <w:bookmarkEnd w:id="21"/>
    <w:p w14:paraId="28BD9CB2">
      <w:pPr>
        <w:spacing w:line="20" w:lineRule="exact"/>
        <w:jc w:val="center"/>
        <w:rPr>
          <w:rFonts w:ascii="黑体" w:hAnsi="黑体" w:eastAsia="黑体"/>
          <w:sz w:val="32"/>
          <w:szCs w:val="32"/>
        </w:rPr>
      </w:pPr>
      <w:bookmarkStart w:id="22" w:name="BookMark4"/>
    </w:p>
    <w:p w14:paraId="59DF413A">
      <w:pPr>
        <w:spacing w:line="20" w:lineRule="exact"/>
        <w:jc w:val="center"/>
        <w:rPr>
          <w:rFonts w:ascii="黑体" w:hAnsi="黑体" w:eastAsia="黑体"/>
          <w:sz w:val="32"/>
          <w:szCs w:val="32"/>
        </w:rPr>
      </w:pPr>
    </w:p>
    <w:sdt>
      <w:sdtPr>
        <w:tag w:val="NEW_STAND_NAME"/>
        <w:id w:val="595910757"/>
        <w:lock w:val="sdtLocked"/>
        <w:placeholder>
          <w:docPart w:val="80DF7A215B164402A31EE5946EE3A26F"/>
        </w:placeholder>
      </w:sdtPr>
      <w:sdtContent>
        <w:p w14:paraId="09A58C0C">
          <w:pPr>
            <w:pStyle w:val="177"/>
            <w:spacing w:before="3" w:beforeLines="1" w:after="686" w:afterLines="220"/>
            <w:jc w:val="center"/>
          </w:pPr>
          <w:bookmarkStart w:id="23" w:name="NEW_STAND_NAME"/>
          <w:r>
            <w:rPr>
              <w:rFonts w:hint="eastAsia"/>
            </w:rPr>
            <w:t>复齿鼯鼠饲养管理规范</w:t>
          </w:r>
        </w:p>
      </w:sdtContent>
    </w:sdt>
    <w:bookmarkEnd w:id="23"/>
    <w:p w14:paraId="2F26E61B">
      <w:pPr>
        <w:pStyle w:val="104"/>
        <w:spacing w:before="312" w:after="312"/>
      </w:pPr>
      <w:bookmarkStart w:id="24" w:name="_Toc17233325"/>
      <w:bookmarkStart w:id="25" w:name="_Toc17233333"/>
      <w:bookmarkStart w:id="26" w:name="_Toc26986771"/>
      <w:bookmarkStart w:id="27" w:name="_Toc26986530"/>
      <w:bookmarkStart w:id="28" w:name="_Toc97191423"/>
      <w:bookmarkStart w:id="29" w:name="_Toc24884211"/>
      <w:bookmarkStart w:id="30" w:name="_Toc26648465"/>
      <w:bookmarkStart w:id="31" w:name="_Toc26718930"/>
      <w:bookmarkStart w:id="32" w:name="_Toc24884218"/>
      <w:r>
        <w:rPr>
          <w:rFonts w:hint="eastAsia"/>
        </w:rPr>
        <w:t>范围</w:t>
      </w:r>
      <w:bookmarkEnd w:id="24"/>
      <w:bookmarkEnd w:id="25"/>
      <w:bookmarkEnd w:id="26"/>
      <w:bookmarkEnd w:id="27"/>
      <w:bookmarkEnd w:id="28"/>
      <w:bookmarkEnd w:id="29"/>
      <w:bookmarkEnd w:id="30"/>
      <w:bookmarkEnd w:id="31"/>
      <w:bookmarkEnd w:id="32"/>
    </w:p>
    <w:p w14:paraId="0FF2C96D">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bookmarkStart w:id="33" w:name="_Toc26648466"/>
      <w:bookmarkStart w:id="34" w:name="_Toc24884212"/>
      <w:bookmarkStart w:id="35" w:name="_Toc24884219"/>
      <w:bookmarkStart w:id="36" w:name="_Toc17233326"/>
      <w:bookmarkStart w:id="37" w:name="_Toc17233334"/>
      <w:r>
        <w:rPr>
          <w:rFonts w:hint="eastAsia"/>
        </w:rPr>
        <w:t>本文件规定了复齿鼯鼠人工饲养场场舍</w:t>
      </w:r>
      <w:r>
        <w:rPr>
          <w:rFonts w:hint="eastAsia"/>
          <w:lang w:eastAsia="zh-CN"/>
        </w:rPr>
        <w:t>、</w:t>
      </w:r>
      <w:r>
        <w:rPr>
          <w:rFonts w:hint="eastAsia"/>
          <w:lang w:val="en-US" w:eastAsia="zh-CN"/>
        </w:rPr>
        <w:t>饲养的饲料、</w:t>
      </w:r>
      <w:r>
        <w:rPr>
          <w:rFonts w:hint="eastAsia"/>
        </w:rPr>
        <w:t>五灵脂的术语定义</w:t>
      </w:r>
      <w:r>
        <w:rPr>
          <w:rFonts w:hint="eastAsia"/>
          <w:lang w:eastAsia="zh-CN"/>
        </w:rPr>
        <w:t>，</w:t>
      </w:r>
      <w:r>
        <w:rPr>
          <w:rFonts w:hint="eastAsia"/>
          <w:lang w:val="en-US" w:eastAsia="zh-CN"/>
        </w:rPr>
        <w:t>规定了场舍建设、饲料加工、饲养、五灵脂</w:t>
      </w:r>
      <w:r>
        <w:rPr>
          <w:rFonts w:hint="eastAsia"/>
        </w:rPr>
        <w:t>采收、晾晒去杂及保存</w:t>
      </w:r>
      <w:r>
        <w:rPr>
          <w:rFonts w:hint="eastAsia"/>
          <w:lang w:eastAsia="zh-CN"/>
        </w:rPr>
        <w:t>、</w:t>
      </w:r>
      <w:r>
        <w:rPr>
          <w:rFonts w:hint="eastAsia"/>
          <w:lang w:val="en-US" w:eastAsia="zh-CN"/>
        </w:rPr>
        <w:t>卫生防疫</w:t>
      </w:r>
      <w:r>
        <w:rPr>
          <w:rFonts w:hint="eastAsia"/>
        </w:rPr>
        <w:t>、</w:t>
      </w:r>
      <w:r>
        <w:rPr>
          <w:rFonts w:hint="eastAsia"/>
          <w:lang w:val="en-US" w:eastAsia="zh-CN"/>
        </w:rPr>
        <w:t>生产记录的填写与归档</w:t>
      </w:r>
      <w:r>
        <w:rPr>
          <w:rFonts w:hint="eastAsia"/>
        </w:rPr>
        <w:t xml:space="preserve">。 </w:t>
      </w:r>
    </w:p>
    <w:p w14:paraId="4318BC85">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pPr>
      <w:r>
        <w:rPr>
          <w:rFonts w:hint="eastAsia"/>
        </w:rPr>
        <w:t>本文件适用于</w:t>
      </w:r>
      <w:r>
        <w:rPr>
          <w:rFonts w:hint="eastAsia"/>
          <w:lang w:val="en-US" w:eastAsia="zh-CN"/>
        </w:rPr>
        <w:t>复齿鼯鼠的饲养管理</w:t>
      </w:r>
      <w:r>
        <w:rPr>
          <w:rFonts w:hint="eastAsia"/>
        </w:rPr>
        <w:t>。</w:t>
      </w:r>
    </w:p>
    <w:p w14:paraId="05D4CDEB">
      <w:pPr>
        <w:pStyle w:val="104"/>
        <w:spacing w:before="312" w:after="312"/>
      </w:pPr>
      <w:bookmarkStart w:id="38" w:name="_Toc26986531"/>
      <w:bookmarkStart w:id="39" w:name="_Toc267189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1918E368AEB54CBB94FDDD017CBFAB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8233A9">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DA88D5">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GB 15618  土壤环境质量 农用地土壤污染风险管控标准（试行）</w:t>
      </w:r>
    </w:p>
    <w:p w14:paraId="2015B24B">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GB 5749</w:t>
      </w:r>
      <w:r>
        <w:rPr>
          <w:rFonts w:hint="eastAsia"/>
          <w:lang w:val="en-US" w:eastAsia="zh-CN"/>
        </w:rPr>
        <w:t xml:space="preserve">  </w:t>
      </w:r>
      <w:r>
        <w:rPr>
          <w:rFonts w:hint="eastAsia"/>
        </w:rPr>
        <w:t>生活饮用水卫生标准</w:t>
      </w:r>
    </w:p>
    <w:p w14:paraId="110D5979">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HJ/T 81  畜禽养殖业污染防治技术规程</w:t>
      </w:r>
    </w:p>
    <w:p w14:paraId="568B93CB">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《畜禽养殖场(户)粪污处理设施建设技术指南》</w:t>
      </w:r>
    </w:p>
    <w:p w14:paraId="5F6465FF">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《动物防疫条件审查办法》</w:t>
      </w:r>
    </w:p>
    <w:p w14:paraId="4D55B493">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pPr>
      <w:r>
        <w:rPr>
          <w:rFonts w:hint="eastAsia"/>
        </w:rPr>
        <w:t>GB 13078</w:t>
      </w:r>
      <w:r>
        <w:rPr>
          <w:rFonts w:hint="eastAsia"/>
          <w:lang w:val="en-US" w:eastAsia="zh-CN"/>
        </w:rPr>
        <w:t xml:space="preserve">  </w:t>
      </w:r>
      <w:r>
        <w:rPr>
          <w:rFonts w:hint="eastAsia"/>
        </w:rPr>
        <w:t>饲料卫生</w:t>
      </w:r>
    </w:p>
    <w:p w14:paraId="7A3E4E2D">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NY/T 388  畜禽场环境质量标准</w:t>
      </w:r>
    </w:p>
    <w:p w14:paraId="2E7F1ED3">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NY/T 3075  畜禽养殖场消毒技术</w:t>
      </w:r>
    </w:p>
    <w:p w14:paraId="643C120D">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NY/T 1167  畜禽场环境质量及卫生控制规范</w:t>
      </w:r>
    </w:p>
    <w:p w14:paraId="61AB41B5">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《中华人民共和国动物防疫法》</w:t>
      </w:r>
    </w:p>
    <w:p w14:paraId="69E42CCE">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《病死及病害动物无害化处理技术规范》</w:t>
      </w:r>
    </w:p>
    <w:p w14:paraId="734C9D0B">
      <w:pPr>
        <w:pStyle w:val="104"/>
        <w:keepNext w:val="0"/>
        <w:keepLines w:val="0"/>
        <w:pageBreakBefore w:val="0"/>
        <w:widowControl/>
        <w:kinsoku/>
        <w:wordWrap/>
        <w:overflowPunct/>
        <w:topLinePunct w:val="0"/>
        <w:autoSpaceDE/>
        <w:autoSpaceDN/>
        <w:bidi w:val="0"/>
        <w:adjustRightInd/>
        <w:snapToGrid/>
        <w:spacing w:before="312" w:after="312"/>
        <w:textAlignment w:val="auto"/>
      </w:pPr>
      <w:bookmarkStart w:id="42" w:name="_Toc97191425"/>
      <w:r>
        <w:rPr>
          <w:rFonts w:hint="eastAsia"/>
          <w:szCs w:val="21"/>
        </w:rPr>
        <w:t>术语和定义</w:t>
      </w:r>
      <w:bookmarkEnd w:id="42"/>
    </w:p>
    <w:sdt>
      <w:sdtPr>
        <w:id w:val="-1909835108"/>
        <w:placeholder>
          <w:docPart w:val="FEEA317CDF4D40E2A88349D177EE68A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2C9345">
          <w:pPr>
            <w:pStyle w:val="56"/>
            <w:keepNext w:val="0"/>
            <w:keepLines w:val="0"/>
            <w:pageBreakBefore w:val="0"/>
            <w:kinsoku/>
            <w:wordWrap/>
            <w:overflowPunct/>
            <w:topLinePunct w:val="0"/>
            <w:bidi w:val="0"/>
            <w:adjustRightInd/>
            <w:snapToGrid/>
            <w:spacing w:before="157" w:beforeLines="50" w:after="157" w:afterLines="50"/>
            <w:ind w:firstLine="420"/>
            <w:textAlignment w:val="auto"/>
          </w:pPr>
          <w:bookmarkStart w:id="43" w:name="_Toc26986532"/>
          <w:bookmarkEnd w:id="43"/>
          <w:r>
            <w:t>下列术语和定义适用于本文件。</w:t>
          </w:r>
        </w:p>
      </w:sdtContent>
    </w:sdt>
    <w:p w14:paraId="16C8B38A">
      <w:pPr>
        <w:pStyle w:val="105"/>
        <w:keepNext w:val="0"/>
        <w:keepLines w:val="0"/>
        <w:pageBreakBefore w:val="0"/>
        <w:kinsoku/>
        <w:wordWrap/>
        <w:overflowPunct/>
        <w:topLinePunct w:val="0"/>
        <w:bidi w:val="0"/>
        <w:adjustRightInd/>
        <w:snapToGrid/>
        <w:spacing w:before="157" w:beforeLines="50" w:after="157" w:afterLines="50"/>
        <w:textAlignment w:val="auto"/>
      </w:pPr>
    </w:p>
    <w:p w14:paraId="06D8A479">
      <w:pPr>
        <w:pStyle w:val="223"/>
        <w:keepNext w:val="0"/>
        <w:keepLines w:val="0"/>
        <w:pageBreakBefore w:val="0"/>
        <w:numPr>
          <w:ilvl w:val="2"/>
          <w:numId w:val="0"/>
        </w:numPr>
        <w:kinsoku/>
        <w:wordWrap/>
        <w:overflowPunct/>
        <w:topLinePunct w:val="0"/>
        <w:bidi w:val="0"/>
        <w:adjustRightInd/>
        <w:snapToGrid/>
        <w:spacing w:before="157" w:beforeLines="50" w:after="157" w:afterLines="50"/>
        <w:ind w:firstLine="420" w:firstLineChars="200"/>
        <w:textAlignment w:val="auto"/>
        <w:rPr>
          <w:rFonts w:hint="eastAsia" w:ascii="黑体" w:eastAsia="黑体" w:cs="Times New Roman"/>
          <w:sz w:val="21"/>
          <w:szCs w:val="21"/>
          <w:lang w:val="en-US" w:eastAsia="zh-CN" w:bidi="ar-SA"/>
        </w:rPr>
      </w:pPr>
      <w:r>
        <w:rPr>
          <w:rFonts w:hint="eastAsia" w:ascii="黑体" w:eastAsia="黑体" w:cs="Times New Roman"/>
          <w:sz w:val="21"/>
          <w:szCs w:val="21"/>
          <w:lang w:val="en-US" w:eastAsia="zh-CN" w:bidi="ar-SA"/>
        </w:rPr>
        <w:t>室养  indoor culture</w:t>
      </w:r>
    </w:p>
    <w:p w14:paraId="04F694DA">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ascii="黑体" w:hAnsi="黑体" w:eastAsia="黑体"/>
        </w:rPr>
      </w:pPr>
      <w:r>
        <w:rPr>
          <w:rFonts w:hint="eastAsia"/>
        </w:rPr>
        <w:t>经过模拟野外生态环境，进行规模较大的室内散养。</w:t>
      </w:r>
    </w:p>
    <w:p w14:paraId="6468AB18">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青饲料 green forage</w:t>
      </w:r>
    </w:p>
    <w:p w14:paraId="4594C439">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可用作饲料的植物的新鲜茎、叶。</w:t>
      </w:r>
    </w:p>
    <w:p w14:paraId="47EBD853">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能量饲料 energy feed</w:t>
      </w:r>
    </w:p>
    <w:p w14:paraId="6FBE0ACC">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干物质中粗纤维含量低于18%，粗蛋白含量低于20%的饲料，包括玉米、小麦、麸皮等。</w:t>
      </w:r>
    </w:p>
    <w:p w14:paraId="478310C9">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蛋白质饲料 Protein feed</w:t>
      </w:r>
    </w:p>
    <w:p w14:paraId="7D57F457">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干物质中粗纤维含量低于18%，粗蛋白含量大于或等于20%的饲料，包括黄豆、豆粕、鱼粉等。</w:t>
      </w:r>
    </w:p>
    <w:p w14:paraId="69FFE00F">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精饲料 concentrated feed</w:t>
      </w:r>
    </w:p>
    <w:p w14:paraId="632D051D">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包括能量饲料和蛋白质饲料。</w:t>
      </w:r>
    </w:p>
    <w:p w14:paraId="1896A65E">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矿物质饲料 mineral feed</w:t>
      </w:r>
    </w:p>
    <w:p w14:paraId="1A8630AD">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用于补充动物体机体所需的钙、钠、磷、氯等常量矿物质元素和铁、铜、锌、硒等微量矿物质元素的饲料，包括工业合成的和自然单一矿物质饲料和多种混合的矿物质饲料，以及配合有载体的微量、常量元素的饲料。</w:t>
      </w:r>
    </w:p>
    <w:p w14:paraId="6DB4A99F">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r>
        <w:rPr>
          <w:rFonts w:ascii="黑体" w:hAnsi="黑体" w:eastAsia="黑体"/>
        </w:rPr>
        <w:br w:type="textWrapping"/>
      </w:r>
      <w:r>
        <w:rPr>
          <w:rFonts w:hint="eastAsia" w:ascii="黑体" w:hAnsi="黑体" w:eastAsia="黑体"/>
        </w:rPr>
        <w:t>饲料添加剂 feed additive</w:t>
      </w:r>
    </w:p>
    <w:p w14:paraId="7C6127FD">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加入饲料中的具有特殊生理功能的微量成分，具有强化基础饲料的营养价值，提高动物生产性能和抵抗力等作用。</w:t>
      </w:r>
    </w:p>
    <w:p w14:paraId="3176A4A8">
      <w:pPr>
        <w:pStyle w:val="223"/>
        <w:keepNext w:val="0"/>
        <w:keepLines w:val="0"/>
        <w:pageBreakBefore w:val="0"/>
        <w:kinsoku/>
        <w:wordWrap/>
        <w:overflowPunct/>
        <w:topLinePunct w:val="0"/>
        <w:bidi w:val="0"/>
        <w:adjustRightInd/>
        <w:snapToGrid/>
        <w:spacing w:before="157" w:beforeLines="50" w:after="157" w:afterLines="50"/>
        <w:ind w:left="420" w:hanging="420" w:hangingChars="200"/>
        <w:textAlignment w:val="auto"/>
        <w:rPr>
          <w:rFonts w:hint="eastAsia" w:ascii="黑体" w:hAnsi="黑体" w:eastAsia="黑体"/>
        </w:rPr>
      </w:pPr>
    </w:p>
    <w:p w14:paraId="1BB24443">
      <w:pPr>
        <w:pStyle w:val="223"/>
        <w:keepNext w:val="0"/>
        <w:keepLines w:val="0"/>
        <w:pageBreakBefore w:val="0"/>
        <w:numPr>
          <w:ilvl w:val="2"/>
          <w:numId w:val="0"/>
        </w:numPr>
        <w:kinsoku/>
        <w:wordWrap/>
        <w:overflowPunct/>
        <w:topLinePunct w:val="0"/>
        <w:bidi w:val="0"/>
        <w:adjustRightInd/>
        <w:snapToGrid/>
        <w:spacing w:before="157" w:beforeLines="50" w:after="157" w:afterLines="50"/>
        <w:ind w:leftChars="-200" w:firstLine="840" w:firstLineChars="400"/>
        <w:textAlignment w:val="auto"/>
        <w:rPr>
          <w:rFonts w:hint="eastAsia" w:ascii="黑体" w:hAnsi="黑体" w:eastAsia="黑体"/>
        </w:rPr>
      </w:pPr>
      <w:r>
        <w:rPr>
          <w:rFonts w:hint="eastAsia" w:ascii="黑体" w:hAnsi="黑体" w:eastAsia="黑体"/>
        </w:rPr>
        <w:t xml:space="preserve">五灵脂  faeces trogopterori         </w:t>
      </w:r>
    </w:p>
    <w:p w14:paraId="61B0DA34">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复齿鼯鼠的干燥粪尿，根据外形的不同常分为灵脂米和灵脂块。</w:t>
      </w:r>
    </w:p>
    <w:p w14:paraId="7993E8AB">
      <w:pPr>
        <w:pStyle w:val="104"/>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场</w:t>
      </w:r>
      <w:r>
        <w:rPr>
          <w:rFonts w:hint="eastAsia"/>
          <w:lang w:val="en-US" w:eastAsia="zh-CN"/>
        </w:rPr>
        <w:t>舍建设</w:t>
      </w:r>
    </w:p>
    <w:p w14:paraId="1D351DAA">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pPr>
      <w:r>
        <w:rPr>
          <w:rFonts w:hint="eastAsia"/>
          <w:lang w:val="en-US" w:eastAsia="zh-CN"/>
        </w:rPr>
        <w:t>4.1 建场要求</w:t>
      </w:r>
    </w:p>
    <w:p w14:paraId="58AE43D8">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4.1.1</w:t>
      </w:r>
      <w:r>
        <w:rPr>
          <w:rFonts w:hint="eastAsia" w:ascii="黑体" w:eastAsia="黑体" w:cs="Times New Roman"/>
          <w:sz w:val="21"/>
          <w:lang w:val="en-US" w:eastAsia="zh-CN" w:bidi="ar-SA"/>
        </w:rPr>
        <w:t xml:space="preserve">  </w:t>
      </w:r>
      <w:r>
        <w:rPr>
          <w:rFonts w:hint="eastAsia"/>
        </w:rPr>
        <w:t>复齿鼯鼠人工饲养场舍的建设应符合复齿鼯鼠的生活习性，有利于饲养管理、卫生防疫、疾病防治、五灵脂收集和工作人员的居住，规模大小根据本地区可利用侧柏林的承载量和社会经济发展状况确定。</w:t>
      </w:r>
    </w:p>
    <w:p w14:paraId="52A96DFC">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4.1.2</w:t>
      </w:r>
      <w:r>
        <w:rPr>
          <w:rFonts w:hint="eastAsia" w:ascii="黑体" w:eastAsia="黑体" w:cs="Times New Roman"/>
          <w:sz w:val="21"/>
          <w:lang w:val="en-US" w:eastAsia="zh-CN" w:bidi="ar-SA"/>
        </w:rPr>
        <w:t xml:space="preserve">  </w:t>
      </w:r>
      <w:r>
        <w:rPr>
          <w:rFonts w:hint="eastAsia"/>
        </w:rPr>
        <w:t>根据饲养场的经营性质、发展规划和饲养数量，结合场地的风向、坡度和兽医卫生要求，对复齿鼯鼠人工饲养场舍的各种建筑物进行合理配置。</w:t>
      </w:r>
    </w:p>
    <w:p w14:paraId="4FB1F9A5">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4.1.3</w:t>
      </w:r>
      <w:r>
        <w:rPr>
          <w:rFonts w:hint="eastAsia" w:ascii="黑体" w:eastAsia="黑体" w:cs="Times New Roman"/>
          <w:sz w:val="21"/>
          <w:lang w:val="en-US" w:eastAsia="zh-CN" w:bidi="ar-SA"/>
        </w:rPr>
        <w:t xml:space="preserve">  </w:t>
      </w:r>
      <w:r>
        <w:rPr>
          <w:rFonts w:hint="eastAsia"/>
        </w:rPr>
        <w:t>应符合当地土地利用发展规划和村镇建设发展规划的要求。</w:t>
      </w:r>
    </w:p>
    <w:p w14:paraId="2E764329">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4  </w:t>
      </w:r>
      <w:r>
        <w:rPr>
          <w:rFonts w:hint="eastAsia"/>
        </w:rPr>
        <w:t>应根据当地常年主导风向，场址位于居民区及公共建筑群的下风向处</w:t>
      </w:r>
      <w:r>
        <w:rPr>
          <w:rFonts w:hint="eastAsia"/>
          <w:lang w:eastAsia="zh-CN"/>
        </w:rPr>
        <w:t>，</w:t>
      </w:r>
      <w:r>
        <w:rPr>
          <w:rFonts w:hint="eastAsia"/>
        </w:rPr>
        <w:t>交通</w:t>
      </w:r>
      <w:r>
        <w:rPr>
          <w:rFonts w:hint="eastAsia"/>
          <w:lang w:val="en-US" w:eastAsia="zh-CN"/>
        </w:rPr>
        <w:t>条件便利</w:t>
      </w:r>
      <w:r>
        <w:rPr>
          <w:rFonts w:hint="eastAsia"/>
          <w:lang w:eastAsia="zh-CN"/>
        </w:rPr>
        <w:t>，</w:t>
      </w:r>
      <w:r>
        <w:rPr>
          <w:rFonts w:hint="eastAsia"/>
        </w:rPr>
        <w:t>电力充足可靠。</w:t>
      </w:r>
    </w:p>
    <w:p w14:paraId="049E4BE9">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5  </w:t>
      </w:r>
      <w:r>
        <w:rPr>
          <w:rFonts w:hint="eastAsia"/>
        </w:rPr>
        <w:t>场址选在海拔1500m以下具有丰富侧柏资源的山区、高原、平原、半山地等地势较为平坦的背风向阳处。</w:t>
      </w:r>
    </w:p>
    <w:p w14:paraId="5B04E6FB">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6  </w:t>
      </w:r>
      <w:r>
        <w:rPr>
          <w:rFonts w:hint="eastAsia"/>
        </w:rPr>
        <w:t>场区壤质量应符合</w:t>
      </w:r>
      <w:r>
        <w:rPr>
          <w:rFonts w:hint="eastAsia"/>
          <w:b/>
          <w:bCs/>
        </w:rPr>
        <w:t xml:space="preserve">GB 15618 </w:t>
      </w:r>
      <w:r>
        <w:rPr>
          <w:rFonts w:hint="eastAsia"/>
        </w:rPr>
        <w:t>的规定，宜选择排水性能良好的土壤，不得选择湿度过大的粘土地。</w:t>
      </w:r>
    </w:p>
    <w:p w14:paraId="4528E2A0">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7  </w:t>
      </w:r>
      <w:r>
        <w:rPr>
          <w:rFonts w:hint="eastAsia"/>
        </w:rPr>
        <w:t>场内水源应充足，符合</w:t>
      </w:r>
      <w:r>
        <w:rPr>
          <w:rFonts w:hint="eastAsia"/>
          <w:b/>
          <w:bCs/>
        </w:rPr>
        <w:t xml:space="preserve">GB 5749 </w:t>
      </w:r>
      <w:r>
        <w:rPr>
          <w:rFonts w:hint="eastAsia"/>
        </w:rPr>
        <w:t>的规定。</w:t>
      </w:r>
    </w:p>
    <w:p w14:paraId="7A5A82D1">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8  </w:t>
      </w:r>
      <w:r>
        <w:rPr>
          <w:rFonts w:hint="eastAsia"/>
        </w:rPr>
        <w:t>污染物处理设施应符合《畜禽养殖场(户)粪污处理设施建设技术指南》的要求。</w:t>
      </w:r>
    </w:p>
    <w:p w14:paraId="208F67BC">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color w:val="FF0000"/>
        </w:rPr>
      </w:pPr>
      <w:r>
        <w:rPr>
          <w:rFonts w:hint="eastAsia" w:ascii="黑体" w:hAnsi="Times New Roman" w:eastAsia="黑体" w:cs="Times New Roman"/>
          <w:sz w:val="21"/>
          <w:lang w:val="en-US" w:eastAsia="zh-CN" w:bidi="ar-SA"/>
        </w:rPr>
        <w:t>4.1.</w:t>
      </w:r>
      <w:r>
        <w:rPr>
          <w:rFonts w:hint="eastAsia" w:ascii="黑体" w:eastAsia="黑体" w:cs="Times New Roman"/>
          <w:sz w:val="21"/>
          <w:lang w:val="en-US" w:eastAsia="zh-CN" w:bidi="ar-SA"/>
        </w:rPr>
        <w:t xml:space="preserve">9  </w:t>
      </w:r>
      <w:r>
        <w:rPr>
          <w:rFonts w:hint="eastAsia"/>
        </w:rPr>
        <w:t>场界与各场所之间的距离应符合《动物</w:t>
      </w:r>
      <w:r>
        <w:rPr>
          <w:rFonts w:hint="eastAsia" w:hAnsi="宋体"/>
        </w:rPr>
        <w:t>防疫条件审查办法</w:t>
      </w:r>
      <w:r>
        <w:rPr>
          <w:rFonts w:hint="eastAsia"/>
        </w:rPr>
        <w:t>》的要求。</w:t>
      </w:r>
    </w:p>
    <w:p w14:paraId="190806D4">
      <w:pPr>
        <w:pStyle w:val="104"/>
        <w:keepNext w:val="0"/>
        <w:keepLines w:val="0"/>
        <w:pageBreakBefore w:val="0"/>
        <w:numPr>
          <w:ilvl w:val="1"/>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4.2 </w:t>
      </w:r>
      <w:r>
        <w:rPr>
          <w:rFonts w:hint="eastAsia"/>
        </w:rPr>
        <w:t>规划与布局</w:t>
      </w:r>
    </w:p>
    <w:p w14:paraId="6A828B5A">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2</w:t>
      </w:r>
      <w:r>
        <w:rPr>
          <w:rFonts w:hint="eastAsia" w:ascii="黑体" w:hAnsi="Times New Roman" w:eastAsia="黑体" w:cs="Times New Roman"/>
          <w:sz w:val="21"/>
          <w:lang w:val="en-US" w:eastAsia="zh-CN" w:bidi="ar-SA"/>
        </w:rPr>
        <w:t>.1</w:t>
      </w:r>
      <w:r>
        <w:rPr>
          <w:rFonts w:hint="eastAsia" w:ascii="黑体" w:eastAsia="黑体" w:cs="Times New Roman"/>
          <w:sz w:val="21"/>
          <w:lang w:val="en-US" w:eastAsia="zh-CN" w:bidi="ar-SA"/>
        </w:rPr>
        <w:t xml:space="preserve"> </w:t>
      </w:r>
      <w:r>
        <w:rPr>
          <w:rFonts w:hint="eastAsia"/>
        </w:rPr>
        <w:t>功能区划分</w:t>
      </w:r>
    </w:p>
    <w:p w14:paraId="730449CC">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4.2.1.1 </w:t>
      </w:r>
      <w:r>
        <w:rPr>
          <w:rFonts w:hint="eastAsia"/>
        </w:rPr>
        <w:t>场区按功能划分为生产区、生产辅助区、隔离区和办公管理区四个区域。</w:t>
      </w:r>
    </w:p>
    <w:p w14:paraId="1CB74D20">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ascii="Calibri" w:hAnsi="Calibri"/>
          <w:sz w:val="18"/>
          <w:szCs w:val="18"/>
        </w:rPr>
      </w:pPr>
      <w:r>
        <w:rPr>
          <w:rFonts w:hint="eastAsia"/>
          <w:lang w:val="en-US" w:eastAsia="zh-CN"/>
        </w:rPr>
        <w:t xml:space="preserve">4.2.1.2 </w:t>
      </w:r>
      <w:r>
        <w:rPr>
          <w:rFonts w:hint="eastAsia"/>
        </w:rPr>
        <w:t>生产区应位于场区主风向的下风口及地势较低处，包括鼯鼠圈舍、笼舍等。</w:t>
      </w:r>
    </w:p>
    <w:p w14:paraId="7027AADF">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ascii="Calibri" w:hAnsi="Calibri"/>
          <w:sz w:val="18"/>
          <w:szCs w:val="18"/>
        </w:rPr>
      </w:pPr>
      <w:r>
        <w:rPr>
          <w:rFonts w:hint="eastAsia"/>
          <w:lang w:val="en-US" w:eastAsia="zh-CN"/>
        </w:rPr>
        <w:t xml:space="preserve">4.2.1.3 </w:t>
      </w:r>
      <w:r>
        <w:rPr>
          <w:rFonts w:hint="eastAsia"/>
        </w:rPr>
        <w:t>生产辅助区位于生产区周边，包括饲料储存、饲料加工、五灵脂晾晒和除杂、消毒及粪便污水处理设施等。</w:t>
      </w:r>
    </w:p>
    <w:p w14:paraId="79F2290D">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ascii="Calibri" w:hAnsi="Calibri"/>
          <w:sz w:val="18"/>
          <w:szCs w:val="18"/>
        </w:rPr>
      </w:pPr>
      <w:r>
        <w:rPr>
          <w:rFonts w:hint="eastAsia"/>
          <w:lang w:val="en-US" w:eastAsia="zh-CN"/>
        </w:rPr>
        <w:t xml:space="preserve">4.2.1.4 </w:t>
      </w:r>
      <w:r>
        <w:rPr>
          <w:rFonts w:hint="eastAsia"/>
        </w:rPr>
        <w:t>隔离区应位于生产区的下风口，包括兽医室、隔离圈舍、无害化处理设施。</w:t>
      </w:r>
    </w:p>
    <w:p w14:paraId="49857657">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4.2.1.5 </w:t>
      </w:r>
      <w:r>
        <w:rPr>
          <w:rFonts w:hint="eastAsia"/>
        </w:rPr>
        <w:t>办公管理区应位于主风向的上风向及地势较高处，包括工作人员的生活和办公设施、车库、门卫室及人员消毒室。</w:t>
      </w:r>
    </w:p>
    <w:p w14:paraId="2CE703BF">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2</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2 </w:t>
      </w:r>
      <w:r>
        <w:rPr>
          <w:rFonts w:hint="eastAsia"/>
        </w:rPr>
        <w:t>道路设置</w:t>
      </w:r>
    </w:p>
    <w:p w14:paraId="50869D06">
      <w:pPr>
        <w:pStyle w:val="56"/>
        <w:keepNext w:val="0"/>
        <w:keepLines w:val="0"/>
        <w:pageBreakBefore w:val="0"/>
        <w:kinsoku/>
        <w:wordWrap/>
        <w:overflowPunct/>
        <w:topLinePunct w:val="0"/>
        <w:bidi w:val="0"/>
        <w:adjustRightInd/>
        <w:snapToGrid/>
        <w:spacing w:before="157" w:beforeLines="50" w:after="157" w:afterLines="50"/>
        <w:ind w:firstLine="420"/>
        <w:textAlignment w:val="auto"/>
      </w:pPr>
      <w:r>
        <w:rPr>
          <w:rFonts w:hint="eastAsia"/>
        </w:rPr>
        <w:t>场区与外界应有专门道路相通。</w:t>
      </w:r>
    </w:p>
    <w:p w14:paraId="52C55077">
      <w:pPr>
        <w:pStyle w:val="104"/>
        <w:keepNext w:val="0"/>
        <w:keepLines w:val="0"/>
        <w:pageBreakBefore w:val="0"/>
        <w:numPr>
          <w:ilvl w:val="1"/>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 </w:t>
      </w:r>
      <w:r>
        <w:rPr>
          <w:rFonts w:hint="eastAsia"/>
        </w:rPr>
        <w:t>场舍建设</w:t>
      </w:r>
    </w:p>
    <w:p w14:paraId="143FCC43">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1 </w:t>
      </w:r>
      <w:r>
        <w:rPr>
          <w:rFonts w:hint="eastAsia"/>
        </w:rPr>
        <w:t>要求</w:t>
      </w:r>
    </w:p>
    <w:p w14:paraId="77DBFF44">
      <w:pPr>
        <w:pStyle w:val="230"/>
        <w:keepNext w:val="0"/>
        <w:keepLines w:val="0"/>
        <w:pageBreakBefore w:val="0"/>
        <w:kinsoku/>
        <w:wordWrap/>
        <w:overflowPunct/>
        <w:topLinePunct w:val="0"/>
        <w:bidi w:val="0"/>
        <w:adjustRightInd/>
        <w:snapToGrid/>
        <w:spacing w:before="157" w:beforeLines="50" w:after="157" w:afterLines="50"/>
        <w:textAlignment w:val="auto"/>
      </w:pPr>
      <w:r>
        <w:rPr>
          <w:rFonts w:hint="eastAsia"/>
        </w:rPr>
        <w:t>圈舍宜建在背风向阳、排水良好地段。圈舍内可根据实际情况进行笼养和室养。圈舍一般分为舍式和棚式。</w:t>
      </w:r>
    </w:p>
    <w:p w14:paraId="6519131B">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2 </w:t>
      </w:r>
      <w:r>
        <w:rPr>
          <w:rFonts w:hint="eastAsia"/>
        </w:rPr>
        <w:t>笼养</w:t>
      </w:r>
    </w:p>
    <w:p w14:paraId="78CFDEB8">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4.3.2.1 </w:t>
      </w:r>
      <w:r>
        <w:rPr>
          <w:rFonts w:hint="eastAsia"/>
        </w:rPr>
        <w:t>每个饲养笼由笼舍、网状粪便接收盘和尿液接收盘组成。</w:t>
      </w:r>
    </w:p>
    <w:p w14:paraId="0B22FDF2">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Ansi="宋体" w:cs="宋体"/>
        </w:rPr>
      </w:pPr>
      <w:r>
        <w:rPr>
          <w:rFonts w:hint="eastAsia"/>
          <w:lang w:val="en-US" w:eastAsia="zh-CN"/>
        </w:rPr>
        <w:t xml:space="preserve">4.2.1.2 </w:t>
      </w:r>
      <w:r>
        <w:rPr>
          <w:rFonts w:hint="eastAsia"/>
        </w:rPr>
        <w:t>每个笼舍为包括活动区和休息区。</w:t>
      </w:r>
    </w:p>
    <w:p w14:paraId="0BFA0E9F">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3 </w:t>
      </w:r>
      <w:r>
        <w:rPr>
          <w:rFonts w:hint="eastAsia"/>
        </w:rPr>
        <w:t>室养</w:t>
      </w:r>
    </w:p>
    <w:p w14:paraId="4D7EA173">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4.3.3.1 </w:t>
      </w:r>
      <w:r>
        <w:rPr>
          <w:rFonts w:hint="eastAsia"/>
        </w:rPr>
        <w:t>在圈舍内墙壁上横着固定模拟的鼯鼠洞穴，每排洞穴的数量依墙壁的长度而定。</w:t>
      </w:r>
    </w:p>
    <w:p w14:paraId="1A8C5333">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4.3.2.2 </w:t>
      </w:r>
      <w:r>
        <w:rPr>
          <w:rFonts w:hint="eastAsia"/>
        </w:rPr>
        <w:t>室内应设置投喂架。</w:t>
      </w:r>
    </w:p>
    <w:p w14:paraId="34F34BAF">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4.3.2.3 </w:t>
      </w:r>
      <w:r>
        <w:rPr>
          <w:rFonts w:hint="eastAsia"/>
          <w:szCs w:val="21"/>
        </w:rPr>
        <w:t>室内地面应硬化</w:t>
      </w:r>
      <w:r>
        <w:rPr>
          <w:rFonts w:hint="eastAsia" w:ascii="Times New Roman"/>
          <w:kern w:val="2"/>
          <w:szCs w:val="24"/>
        </w:rPr>
        <w:t>。</w:t>
      </w:r>
    </w:p>
    <w:p w14:paraId="0627B4BB">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ascii="宋体" w:hAnsi="宋体" w:eastAsia="宋体" w:cs="宋体"/>
        </w:rPr>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4 </w:t>
      </w:r>
      <w:r>
        <w:rPr>
          <w:rFonts w:hint="eastAsia"/>
        </w:rPr>
        <w:t>舍式</w:t>
      </w:r>
    </w:p>
    <w:p w14:paraId="024F03A0">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4.3.4.1 </w:t>
      </w:r>
      <w:r>
        <w:rPr>
          <w:rFonts w:hint="eastAsia"/>
        </w:rPr>
        <w:t>分为双列示或单列示。</w:t>
      </w:r>
    </w:p>
    <w:p w14:paraId="20D98B6B">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4.3.4.2 </w:t>
      </w:r>
      <w:r>
        <w:rPr>
          <w:rFonts w:hint="eastAsia"/>
        </w:rPr>
        <w:t xml:space="preserve">每个圈舍可以放置不少于1排和1列饲养笼或1间室养区，圈舍屋檐距地面2～2.5m，设窗户。 </w:t>
      </w:r>
    </w:p>
    <w:p w14:paraId="38C1EF02">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5 </w:t>
      </w:r>
      <w:r>
        <w:rPr>
          <w:rFonts w:hint="eastAsia"/>
        </w:rPr>
        <w:t>棚式</w:t>
      </w:r>
    </w:p>
    <w:p w14:paraId="7227E9D7">
      <w:pPr>
        <w:pStyle w:val="56"/>
        <w:keepNext w:val="0"/>
        <w:keepLines w:val="0"/>
        <w:pageBreakBefore w:val="0"/>
        <w:kinsoku/>
        <w:wordWrap/>
        <w:overflowPunct/>
        <w:topLinePunct w:val="0"/>
        <w:bidi w:val="0"/>
        <w:adjustRightInd/>
        <w:snapToGrid/>
        <w:spacing w:before="157" w:beforeLines="50" w:after="157" w:afterLines="50"/>
        <w:ind w:firstLine="420"/>
        <w:textAlignment w:val="auto"/>
      </w:pPr>
      <w:r>
        <w:rPr>
          <w:rFonts w:hint="eastAsia"/>
        </w:rPr>
        <w:t>棚式四面的墙体高度为不低于</w:t>
      </w:r>
      <w:r>
        <w:rPr>
          <w:rFonts w:hint="eastAsia"/>
          <w:szCs w:val="21"/>
        </w:rPr>
        <w:t>1.5m，</w:t>
      </w:r>
      <w:r>
        <w:rPr>
          <w:rFonts w:hint="eastAsia"/>
        </w:rPr>
        <w:t>圈舍的屋檐距地面2～2.5m，上面和四周搭建防逃网。</w:t>
      </w:r>
    </w:p>
    <w:p w14:paraId="4BF6B76E">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6 </w:t>
      </w:r>
      <w:r>
        <w:rPr>
          <w:rFonts w:hint="eastAsia"/>
        </w:rPr>
        <w:t>排水</w:t>
      </w:r>
    </w:p>
    <w:p w14:paraId="690B2F65">
      <w:pPr>
        <w:pStyle w:val="56"/>
        <w:keepNext w:val="0"/>
        <w:keepLines w:val="0"/>
        <w:pageBreakBefore w:val="0"/>
        <w:kinsoku/>
        <w:wordWrap/>
        <w:overflowPunct/>
        <w:topLinePunct w:val="0"/>
        <w:bidi w:val="0"/>
        <w:adjustRightInd/>
        <w:snapToGrid/>
        <w:spacing w:before="157" w:beforeLines="50" w:after="157" w:afterLines="50"/>
        <w:ind w:firstLine="420"/>
        <w:textAlignment w:val="auto"/>
      </w:pPr>
      <w:r>
        <w:rPr>
          <w:rFonts w:hint="eastAsia"/>
        </w:rPr>
        <w:t>室养的圈舍从前墙至后墙，从两侧墙到圈舍中线，地面应有3°</w:t>
      </w:r>
      <w:r>
        <w:rPr>
          <w:rFonts w:hint="eastAsia" w:ascii="Times New Roman"/>
          <w:kern w:val="2"/>
          <w:szCs w:val="24"/>
        </w:rPr>
        <w:t>~5</w:t>
      </w:r>
      <w:r>
        <w:rPr>
          <w:rFonts w:hint="eastAsia"/>
        </w:rPr>
        <w:t>°的斜坡。</w:t>
      </w:r>
    </w:p>
    <w:p w14:paraId="700EBAD4">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7 </w:t>
      </w:r>
      <w:r>
        <w:rPr>
          <w:rFonts w:hint="eastAsia"/>
        </w:rPr>
        <w:t>配套设施</w:t>
      </w:r>
    </w:p>
    <w:p w14:paraId="4A3BD706">
      <w:pPr>
        <w:pStyle w:val="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4.3.7.1</w:t>
      </w:r>
      <w:r>
        <w:rPr>
          <w:rFonts w:hint="eastAsia" w:ascii="宋体" w:eastAsia="宋体" w:cs="Times New Roman"/>
          <w:sz w:val="21"/>
          <w:lang w:val="en-US" w:eastAsia="zh-CN" w:bidi="ar-SA"/>
        </w:rPr>
        <w:t xml:space="preserve"> </w:t>
      </w:r>
      <w:r>
        <w:rPr>
          <w:rFonts w:hint="eastAsia" w:ascii="宋体" w:hAnsi="Times New Roman" w:eastAsia="宋体" w:cs="Times New Roman"/>
          <w:sz w:val="21"/>
          <w:lang w:val="en-US" w:eastAsia="zh-CN" w:bidi="ar-SA"/>
        </w:rPr>
        <w:t>饲料加工室</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饲料加工室面积不少于10㎡</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室内主要设备有：拌料箱、锅灶、蒸笼等。</w:t>
      </w:r>
    </w:p>
    <w:p w14:paraId="6AFEE22E">
      <w:pPr>
        <w:pStyle w:val="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4.3.7.</w:t>
      </w:r>
      <w:r>
        <w:rPr>
          <w:rFonts w:hint="eastAsia" w:ascii="宋体" w:eastAsia="宋体" w:cs="Times New Roman"/>
          <w:sz w:val="21"/>
          <w:lang w:val="en-US" w:eastAsia="zh-CN" w:bidi="ar-SA"/>
        </w:rPr>
        <w:t xml:space="preserve">2 </w:t>
      </w:r>
      <w:r>
        <w:rPr>
          <w:rFonts w:hint="eastAsia" w:ascii="宋体" w:hAnsi="Times New Roman" w:eastAsia="宋体" w:cs="Times New Roman"/>
          <w:sz w:val="21"/>
          <w:lang w:val="en-US" w:eastAsia="zh-CN" w:bidi="ar-SA"/>
        </w:rPr>
        <w:t>精饲料库：储存精饲料的仓库，应干燥、通风、防鼠和防虫</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其容积以储备5个月用量为宜。</w:t>
      </w:r>
    </w:p>
    <w:p w14:paraId="7E9AD754">
      <w:pPr>
        <w:pStyle w:val="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4.3.7.</w:t>
      </w:r>
      <w:r>
        <w:rPr>
          <w:rFonts w:hint="eastAsia" w:ascii="宋体" w:eastAsia="宋体" w:cs="Times New Roman"/>
          <w:sz w:val="21"/>
          <w:lang w:val="en-US" w:eastAsia="zh-CN" w:bidi="ar-SA"/>
        </w:rPr>
        <w:t xml:space="preserve">3 </w:t>
      </w:r>
      <w:r>
        <w:rPr>
          <w:rFonts w:hint="eastAsia" w:ascii="宋体" w:hAnsi="Times New Roman" w:eastAsia="宋体" w:cs="Times New Roman"/>
          <w:sz w:val="21"/>
          <w:lang w:val="en-US" w:eastAsia="zh-CN" w:bidi="ar-SA"/>
        </w:rPr>
        <w:t>粗饲料库</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粗饲料库主要储存新鲜的侧柏枝叶，建有浸泡池</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其容积以储备30天的用量为宜。</w:t>
      </w:r>
    </w:p>
    <w:p w14:paraId="0E97E52C">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4.3.7.</w:t>
      </w:r>
      <w:r>
        <w:rPr>
          <w:rFonts w:hint="eastAsia" w:ascii="宋体" w:eastAsia="宋体" w:cs="Times New Roman"/>
          <w:sz w:val="21"/>
          <w:lang w:val="en-US" w:eastAsia="zh-CN" w:bidi="ar-SA"/>
        </w:rPr>
        <w:t>4</w:t>
      </w:r>
      <w:r>
        <w:rPr>
          <w:rFonts w:hint="eastAsia" w:cs="Times New Roman"/>
          <w:sz w:val="21"/>
          <w:lang w:val="en-US" w:eastAsia="zh-CN" w:bidi="ar-SA"/>
        </w:rPr>
        <w:t xml:space="preserve"> </w:t>
      </w:r>
      <w:r>
        <w:rPr>
          <w:rFonts w:hint="eastAsia" w:ascii="宋体" w:hAnsi="Times New Roman" w:eastAsia="宋体" w:cs="Times New Roman"/>
          <w:sz w:val="21"/>
          <w:lang w:val="en-US" w:eastAsia="zh-CN" w:bidi="ar-SA"/>
        </w:rPr>
        <w:t>五灵脂晾晒和除杂场</w:t>
      </w:r>
      <w:r>
        <w:rPr>
          <w:rFonts w:hint="eastAsia" w:ascii="宋体" w:eastAsia="宋体" w:cs="Times New Roman"/>
          <w:sz w:val="21"/>
          <w:lang w:val="en-US" w:eastAsia="zh-CN" w:bidi="ar-SA"/>
        </w:rPr>
        <w:t>：</w:t>
      </w:r>
      <w:r>
        <w:rPr>
          <w:rFonts w:hint="eastAsia" w:ascii="宋体" w:hAnsi="Times New Roman" w:eastAsia="宋体" w:cs="Times New Roman"/>
          <w:sz w:val="21"/>
          <w:lang w:val="en-US" w:eastAsia="zh-CN" w:bidi="ar-SA"/>
        </w:rPr>
        <w:t>水泥光滑地面，排水要好， 主要设备有：风选机、网筛等。</w:t>
      </w:r>
    </w:p>
    <w:p w14:paraId="74832A42">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8 </w:t>
      </w:r>
      <w:r>
        <w:rPr>
          <w:rFonts w:hint="eastAsia"/>
        </w:rPr>
        <w:t>卫生防疫设施</w:t>
      </w:r>
    </w:p>
    <w:p w14:paraId="430E90F1">
      <w:pPr>
        <w:pStyle w:val="164"/>
        <w:keepNext w:val="0"/>
        <w:keepLines w:val="0"/>
        <w:pageBreakBefore w:val="0"/>
        <w:numPr>
          <w:ilvl w:val="4"/>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w:t>
      </w:r>
      <w:r>
        <w:rPr>
          <w:rFonts w:hint="eastAsia" w:cs="Times New Roman"/>
          <w:sz w:val="21"/>
          <w:lang w:val="en-US" w:eastAsia="zh-CN" w:bidi="ar-SA"/>
        </w:rPr>
        <w:t>8</w:t>
      </w:r>
      <w:r>
        <w:rPr>
          <w:rFonts w:hint="eastAsia" w:ascii="宋体" w:hAnsi="Times New Roman" w:eastAsia="宋体" w:cs="Times New Roman"/>
          <w:sz w:val="21"/>
          <w:lang w:val="en-US" w:eastAsia="zh-CN" w:bidi="ar-SA"/>
        </w:rPr>
        <w:t>.1</w:t>
      </w:r>
      <w:r>
        <w:rPr>
          <w:rFonts w:hint="eastAsia" w:cs="Times New Roman"/>
          <w:sz w:val="21"/>
          <w:lang w:val="en-US" w:eastAsia="zh-CN" w:bidi="ar-SA"/>
        </w:rPr>
        <w:t xml:space="preserve"> </w:t>
      </w:r>
      <w:r>
        <w:rPr>
          <w:rFonts w:hint="eastAsia"/>
        </w:rPr>
        <w:t>场区四周建有围墙，并有侧柏林绿化带隔离，大门入口处应设消毒池。</w:t>
      </w:r>
    </w:p>
    <w:p w14:paraId="6964B2DE">
      <w:pPr>
        <w:pStyle w:val="164"/>
        <w:keepNext w:val="0"/>
        <w:keepLines w:val="0"/>
        <w:pageBreakBefore w:val="0"/>
        <w:numPr>
          <w:ilvl w:val="4"/>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w:t>
      </w:r>
      <w:r>
        <w:rPr>
          <w:rFonts w:hint="eastAsia" w:cs="Times New Roman"/>
          <w:sz w:val="21"/>
          <w:lang w:val="en-US" w:eastAsia="zh-CN" w:bidi="ar-SA"/>
        </w:rPr>
        <w:t>8</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eastAsia="宋体" w:cs="Times New Roman"/>
          <w:sz w:val="21"/>
          <w:lang w:val="en-US" w:eastAsia="zh-CN" w:bidi="ar-SA"/>
        </w:rPr>
        <w:t xml:space="preserve"> </w:t>
      </w:r>
      <w:r>
        <w:rPr>
          <w:rFonts w:hint="eastAsia"/>
        </w:rPr>
        <w:t>生产区入口处设人员更衣、消毒室，在圈舍入口处设消毒池。</w:t>
      </w:r>
    </w:p>
    <w:p w14:paraId="5843C559">
      <w:pPr>
        <w:pStyle w:val="164"/>
        <w:keepNext w:val="0"/>
        <w:keepLines w:val="0"/>
        <w:pageBreakBefore w:val="0"/>
        <w:numPr>
          <w:ilvl w:val="4"/>
          <w:numId w:val="0"/>
        </w:numPr>
        <w:kinsoku/>
        <w:wordWrap/>
        <w:overflowPunct/>
        <w:topLinePunct w:val="0"/>
        <w:bidi w:val="0"/>
        <w:adjustRightInd/>
        <w:snapToGrid/>
        <w:spacing w:before="157" w:beforeLines="50" w:after="157" w:afterLines="50"/>
        <w:ind w:leftChars="0"/>
        <w:textAlignment w:val="auto"/>
      </w:pPr>
      <w:r>
        <w:rPr>
          <w:rFonts w:hint="eastAsia" w:ascii="宋体" w:hAnsi="Times New Roman" w:eastAsia="宋体" w:cs="Times New Roman"/>
          <w:sz w:val="21"/>
          <w:lang w:val="en-US" w:eastAsia="zh-CN" w:bidi="ar-SA"/>
        </w:rPr>
        <w:t>4.3.</w:t>
      </w:r>
      <w:r>
        <w:rPr>
          <w:rFonts w:hint="eastAsia" w:cs="Times New Roman"/>
          <w:sz w:val="21"/>
          <w:lang w:val="en-US" w:eastAsia="zh-CN" w:bidi="ar-SA"/>
        </w:rPr>
        <w:t>8</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3 </w:t>
      </w:r>
      <w:r>
        <w:rPr>
          <w:rFonts w:hint="eastAsia"/>
        </w:rPr>
        <w:t>饲料库房应设在管理区域鼯鼠饲养区的连接处。</w:t>
      </w:r>
    </w:p>
    <w:p w14:paraId="6D046232">
      <w:pPr>
        <w:pStyle w:val="164"/>
        <w:keepNext w:val="0"/>
        <w:keepLines w:val="0"/>
        <w:pageBreakBefore w:val="0"/>
        <w:numPr>
          <w:ilvl w:val="4"/>
          <w:numId w:val="0"/>
        </w:numPr>
        <w:kinsoku/>
        <w:wordWrap/>
        <w:overflowPunct/>
        <w:topLinePunct w:val="0"/>
        <w:bidi w:val="0"/>
        <w:adjustRightInd/>
        <w:snapToGrid/>
        <w:spacing w:before="157" w:beforeLines="50" w:after="157" w:afterLines="50"/>
        <w:ind w:leftChars="0"/>
        <w:textAlignment w:val="auto"/>
        <w:rPr>
          <w:rFonts w:ascii="黑体" w:eastAsia="黑体"/>
          <w:szCs w:val="21"/>
        </w:rPr>
      </w:pPr>
      <w:r>
        <w:rPr>
          <w:rFonts w:hint="eastAsia" w:ascii="宋体" w:hAnsi="Times New Roman" w:eastAsia="宋体" w:cs="Times New Roman"/>
          <w:sz w:val="21"/>
          <w:lang w:val="en-US" w:eastAsia="zh-CN" w:bidi="ar-SA"/>
        </w:rPr>
        <w:t>4.3.</w:t>
      </w:r>
      <w:r>
        <w:rPr>
          <w:rFonts w:hint="eastAsia" w:cs="Times New Roman"/>
          <w:sz w:val="21"/>
          <w:lang w:val="en-US" w:eastAsia="zh-CN" w:bidi="ar-SA"/>
        </w:rPr>
        <w:t>8</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4 </w:t>
      </w:r>
      <w:r>
        <w:rPr>
          <w:rFonts w:hint="eastAsia"/>
        </w:rPr>
        <w:t>动物运输车和场外饲料运输车不允许进入生产区。</w:t>
      </w:r>
    </w:p>
    <w:p w14:paraId="7C7F5B70">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hAnsi="Times New Roman" w:eastAsia="黑体" w:cs="Times New Roman"/>
          <w:sz w:val="21"/>
          <w:lang w:val="en-US" w:eastAsia="zh-CN" w:bidi="ar-SA"/>
        </w:rPr>
        <w:t>4.</w:t>
      </w:r>
      <w:r>
        <w:rPr>
          <w:rFonts w:hint="eastAsia" w:cs="Times New Roman"/>
          <w:sz w:val="21"/>
          <w:lang w:val="en-US" w:eastAsia="zh-CN" w:bidi="ar-SA"/>
        </w:rPr>
        <w:t>3</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8 </w:t>
      </w:r>
      <w:r>
        <w:rPr>
          <w:rFonts w:hint="eastAsia"/>
        </w:rPr>
        <w:t>粪便污水处理设施</w:t>
      </w:r>
    </w:p>
    <w:p w14:paraId="68C0F64E">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hAnsi="宋体"/>
        </w:rPr>
      </w:pPr>
      <w:r>
        <w:rPr>
          <w:rFonts w:hint="eastAsia"/>
        </w:rPr>
        <w:t xml:space="preserve">粪便污水处理设施应符合 </w:t>
      </w:r>
      <w:r>
        <w:rPr>
          <w:rFonts w:hint="eastAsia" w:hAnsi="宋体"/>
          <w:b/>
          <w:bCs/>
        </w:rPr>
        <w:t>HJ/T 81</w:t>
      </w:r>
      <w:r>
        <w:rPr>
          <w:rFonts w:hint="eastAsia" w:hAnsi="宋体"/>
        </w:rPr>
        <w:t xml:space="preserve"> 要求。</w:t>
      </w:r>
    </w:p>
    <w:bookmarkEnd w:id="22"/>
    <w:p w14:paraId="4A0582BB">
      <w:pPr>
        <w:pStyle w:val="104"/>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rPr>
        <w:t>饲料</w:t>
      </w:r>
      <w:r>
        <w:rPr>
          <w:rFonts w:hint="eastAsia"/>
          <w:lang w:val="en-US" w:eastAsia="zh-CN"/>
        </w:rPr>
        <w:t>饲养</w:t>
      </w:r>
    </w:p>
    <w:p w14:paraId="6BD16838">
      <w:pPr>
        <w:pStyle w:val="105"/>
        <w:keepNext w:val="0"/>
        <w:keepLines w:val="0"/>
        <w:pageBreakBefore w:val="0"/>
        <w:widowControl/>
        <w:kinsoku/>
        <w:wordWrap/>
        <w:overflowPunct/>
        <w:topLinePunct w:val="0"/>
        <w:autoSpaceDE/>
        <w:autoSpaceDN/>
        <w:bidi w:val="0"/>
        <w:adjustRightInd/>
        <w:snapToGrid/>
        <w:spacing w:before="157" w:beforeLines="50" w:after="157" w:afterLines="50"/>
        <w:textAlignment w:val="auto"/>
      </w:pPr>
      <w:r>
        <w:rPr>
          <w:rFonts w:hint="eastAsia"/>
          <w:lang w:val="en-US" w:eastAsia="zh-CN"/>
        </w:rPr>
        <w:t>饲料</w:t>
      </w:r>
    </w:p>
    <w:p w14:paraId="0969B79D">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hint="eastAsia" w:ascii="黑体" w:hAnsi="Times New Roman" w:eastAsia="黑体" w:cs="Times New Roman"/>
          <w:sz w:val="21"/>
          <w:lang w:val="en-US" w:eastAsia="zh-CN" w:bidi="ar-SA"/>
        </w:rPr>
      </w:pPr>
      <w:r>
        <w:rPr>
          <w:rFonts w:hint="eastAsia" w:cs="Times New Roman"/>
          <w:sz w:val="21"/>
          <w:lang w:val="en-US" w:eastAsia="zh-CN" w:bidi="ar-SA"/>
        </w:rPr>
        <w:t>5</w:t>
      </w:r>
      <w:r>
        <w:rPr>
          <w:rFonts w:hint="eastAsia" w:ascii="黑体" w:hAnsi="Times New Roman" w:eastAsia="黑体" w:cs="Times New Roman"/>
          <w:sz w:val="21"/>
          <w:lang w:val="en-US" w:eastAsia="zh-CN" w:bidi="ar-SA"/>
        </w:rPr>
        <w:t>.</w:t>
      </w:r>
      <w:r>
        <w:rPr>
          <w:rFonts w:hint="eastAsia" w:cs="Times New Roman"/>
          <w:sz w:val="21"/>
          <w:lang w:val="en-US" w:eastAsia="zh-CN" w:bidi="ar-SA"/>
        </w:rPr>
        <w:t>1</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1 </w:t>
      </w:r>
      <w:r>
        <w:rPr>
          <w:rFonts w:hint="eastAsia"/>
          <w:lang w:val="en-US" w:eastAsia="zh-CN"/>
        </w:rPr>
        <w:t>种类</w:t>
      </w:r>
    </w:p>
    <w:p w14:paraId="05493842">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.1</w:t>
      </w:r>
      <w:r>
        <w:rPr>
          <w:rFonts w:hint="eastAsia" w:cs="Times New Roman"/>
          <w:sz w:val="21"/>
          <w:lang w:val="en-US" w:eastAsia="zh-CN" w:bidi="ar-SA"/>
        </w:rPr>
        <w:t xml:space="preserve"> </w:t>
      </w:r>
      <w:r>
        <w:rPr>
          <w:rFonts w:hint="eastAsia"/>
        </w:rPr>
        <w:t>复齿鼯鼠饲养的饲料主要包括侧柏、青饲料、精饲料、矿物质添加剂、饲料添加剂。</w:t>
      </w:r>
    </w:p>
    <w:p w14:paraId="77BB242A">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2 </w:t>
      </w:r>
      <w:r>
        <w:rPr>
          <w:rFonts w:hint="eastAsia"/>
        </w:rPr>
        <w:t>饲料添加剂主要包括维生素添加剂。</w:t>
      </w:r>
    </w:p>
    <w:p w14:paraId="6DA97694">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黑体" w:hAnsi="Times New Roman" w:eastAsia="黑体" w:cs="Times New Roman"/>
          <w:sz w:val="21"/>
          <w:lang w:val="en-US" w:eastAsia="zh-CN" w:bidi="ar-SA"/>
        </w:rPr>
        <w:t>.</w:t>
      </w:r>
      <w:r>
        <w:rPr>
          <w:rFonts w:hint="eastAsia" w:cs="Times New Roman"/>
          <w:sz w:val="21"/>
          <w:lang w:val="en-US" w:eastAsia="zh-CN" w:bidi="ar-SA"/>
        </w:rPr>
        <w:t>1</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2 </w:t>
      </w:r>
      <w:r>
        <w:rPr>
          <w:rFonts w:hint="eastAsia"/>
        </w:rPr>
        <w:t>要求</w:t>
      </w:r>
    </w:p>
    <w:p w14:paraId="67A38A3B">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hAnsi="Times New Roman" w:eastAsia="宋体" w:cs="Times New Roman"/>
          <w:sz w:val="21"/>
          <w:lang w:val="en-US" w:eastAsia="zh-CN" w:bidi="ar-SA"/>
        </w:rPr>
        <w:t>.1</w:t>
      </w:r>
      <w:r>
        <w:rPr>
          <w:rFonts w:hint="eastAsia" w:cs="Times New Roman"/>
          <w:sz w:val="21"/>
          <w:lang w:val="en-US" w:eastAsia="zh-CN" w:bidi="ar-SA"/>
        </w:rPr>
        <w:t xml:space="preserve"> </w:t>
      </w:r>
      <w:r>
        <w:rPr>
          <w:rFonts w:hint="eastAsia"/>
        </w:rPr>
        <w:t>符合</w:t>
      </w:r>
      <w:r>
        <w:rPr>
          <w:rFonts w:ascii="Times New Roman"/>
          <w:b/>
          <w:bCs/>
        </w:rPr>
        <w:t>GB 13078</w:t>
      </w:r>
      <w:r>
        <w:rPr>
          <w:rFonts w:hint="eastAsia"/>
        </w:rPr>
        <w:t>相关要求无变质、霉变、结块及异味。</w:t>
      </w:r>
    </w:p>
    <w:p w14:paraId="6E859CC0">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2 </w:t>
      </w:r>
      <w:r>
        <w:rPr>
          <w:rFonts w:hint="eastAsia"/>
        </w:rPr>
        <w:t>侧柏和青绿饲料清洗干净后饲喂。</w:t>
      </w:r>
    </w:p>
    <w:p w14:paraId="12AB9EE8">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3 </w:t>
      </w:r>
      <w:r>
        <w:rPr>
          <w:rFonts w:hint="eastAsia"/>
        </w:rPr>
        <w:t>精饲料、矿物质饲料喂前粉碎充分混匀后蒸熟成馍或制成颗粒料，方可饲喂。</w:t>
      </w:r>
    </w:p>
    <w:p w14:paraId="0935D584">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4 </w:t>
      </w:r>
      <w:r>
        <w:rPr>
          <w:rFonts w:hint="eastAsia"/>
        </w:rPr>
        <w:t>维生素添加剂根据实际情况在饲喂时均匀拌入精料中或溶于水中进行饲喂。</w:t>
      </w:r>
    </w:p>
    <w:p w14:paraId="479E92EC">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宋体" w:hAnsi="Times New Roman" w:eastAsia="宋体" w:cs="Times New Roman"/>
          <w:sz w:val="21"/>
          <w:lang w:val="en-US" w:eastAsia="zh-CN" w:bidi="ar-SA"/>
        </w:rPr>
        <w:t>.</w:t>
      </w:r>
      <w:r>
        <w:rPr>
          <w:rFonts w:hint="eastAsia" w:cs="Times New Roman"/>
          <w:sz w:val="21"/>
          <w:lang w:val="en-US" w:eastAsia="zh-CN" w:bidi="ar-SA"/>
        </w:rPr>
        <w:t>1</w:t>
      </w:r>
      <w:r>
        <w:rPr>
          <w:rFonts w:hint="eastAsia" w:ascii="宋体" w:hAnsi="Times New Roman" w:eastAsia="宋体" w:cs="Times New Roman"/>
          <w:sz w:val="21"/>
          <w:lang w:val="en-US" w:eastAsia="zh-CN" w:bidi="ar-SA"/>
        </w:rPr>
        <w:t>.</w:t>
      </w:r>
      <w:r>
        <w:rPr>
          <w:rFonts w:hint="eastAsia" w:cs="Times New Roman"/>
          <w:sz w:val="21"/>
          <w:lang w:val="en-US" w:eastAsia="zh-CN" w:bidi="ar-SA"/>
        </w:rPr>
        <w:t>2</w:t>
      </w:r>
      <w:r>
        <w:rPr>
          <w:rFonts w:hint="eastAsia" w:ascii="宋体" w:hAnsi="Times New Roman" w:eastAsia="宋体" w:cs="Times New Roman"/>
          <w:sz w:val="21"/>
          <w:lang w:val="en-US" w:eastAsia="zh-CN" w:bidi="ar-SA"/>
        </w:rPr>
        <w:t>.</w:t>
      </w:r>
      <w:r>
        <w:rPr>
          <w:rFonts w:hint="eastAsia" w:cs="Times New Roman"/>
          <w:sz w:val="21"/>
          <w:lang w:val="en-US" w:eastAsia="zh-CN" w:bidi="ar-SA"/>
        </w:rPr>
        <w:t xml:space="preserve">5 </w:t>
      </w:r>
      <w:r>
        <w:rPr>
          <w:rFonts w:hint="eastAsia"/>
        </w:rPr>
        <w:t>非营养性添加剂按需添加。</w:t>
      </w:r>
    </w:p>
    <w:p w14:paraId="3B12AC50">
      <w:pPr>
        <w:pStyle w:val="105"/>
        <w:keepNext w:val="0"/>
        <w:keepLines w:val="0"/>
        <w:pageBreakBefore w:val="0"/>
        <w:kinsoku/>
        <w:wordWrap/>
        <w:overflowPunct/>
        <w:topLinePunct w:val="0"/>
        <w:bidi w:val="0"/>
        <w:adjustRightInd/>
        <w:snapToGrid/>
        <w:spacing w:before="157" w:beforeLines="50" w:after="157" w:afterLines="50"/>
        <w:textAlignment w:val="auto"/>
      </w:pPr>
      <w:r>
        <w:rPr>
          <w:rFonts w:hint="eastAsia"/>
          <w:lang w:val="en-US" w:eastAsia="zh-CN"/>
        </w:rPr>
        <w:t>饲养</w:t>
      </w:r>
    </w:p>
    <w:p w14:paraId="14A570FC">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黑体" w:hAnsi="Times New Roman" w:eastAsia="黑体" w:cs="Times New Roman"/>
          <w:sz w:val="21"/>
          <w:lang w:val="en-US" w:eastAsia="zh-CN" w:bidi="ar-SA"/>
        </w:rPr>
        <w:t>.</w:t>
      </w:r>
      <w:r>
        <w:rPr>
          <w:rFonts w:hint="eastAsia" w:cs="Times New Roman"/>
          <w:sz w:val="21"/>
          <w:lang w:val="en-US" w:eastAsia="zh-CN" w:bidi="ar-SA"/>
        </w:rPr>
        <w:t>2</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1 要求 </w:t>
      </w:r>
    </w:p>
    <w:p w14:paraId="2D2EAD51">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5.2.1.1 </w:t>
      </w:r>
      <w:r>
        <w:rPr>
          <w:rFonts w:hint="eastAsia"/>
        </w:rPr>
        <w:t>根据复齿鼯鼠的年（日）龄、体况进行分类饲养。</w:t>
      </w:r>
    </w:p>
    <w:p w14:paraId="0E6E8718">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5.2.1.2 </w:t>
      </w:r>
      <w:r>
        <w:rPr>
          <w:rFonts w:hint="eastAsia"/>
        </w:rPr>
        <w:t>复齿鼯鼠日粮分两次投喂，早晚各一次。</w:t>
      </w:r>
    </w:p>
    <w:p w14:paraId="1B769846">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5.2.1.3 </w:t>
      </w:r>
      <w:r>
        <w:rPr>
          <w:rFonts w:hint="eastAsia"/>
        </w:rPr>
        <w:t>饲料日粮变换时，新日粮应经过5d</w:t>
      </w:r>
      <w:r>
        <w:rPr>
          <w:rFonts w:hint="eastAsia" w:ascii="Times New Roman"/>
          <w:kern w:val="2"/>
          <w:szCs w:val="24"/>
        </w:rPr>
        <w:t>~7</w:t>
      </w:r>
      <w:r>
        <w:rPr>
          <w:rFonts w:hint="eastAsia"/>
        </w:rPr>
        <w:t>d逐渐由少到多逐渐增加进行替换。</w:t>
      </w:r>
    </w:p>
    <w:p w14:paraId="2FF1D053">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5.2.1.4 </w:t>
      </w:r>
      <w:r>
        <w:rPr>
          <w:rFonts w:hint="eastAsia"/>
        </w:rPr>
        <w:t>复齿鼯鼠饮用水应符合</w:t>
      </w:r>
      <w:r>
        <w:rPr>
          <w:rFonts w:ascii="Times New Roman"/>
          <w:b/>
          <w:bCs/>
        </w:rPr>
        <w:t>GB 5749</w:t>
      </w:r>
      <w:r>
        <w:rPr>
          <w:rFonts w:hint="eastAsia" w:hAnsi="宋体"/>
        </w:rPr>
        <w:t>要求，日常应提供充足饮水，夏季增加饮水的供给</w:t>
      </w:r>
      <w:r>
        <w:rPr>
          <w:rFonts w:hint="eastAsia"/>
        </w:rPr>
        <w:t>。</w:t>
      </w:r>
    </w:p>
    <w:p w14:paraId="52A56133">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Ansi="宋体"/>
        </w:rPr>
      </w:pPr>
      <w:r>
        <w:rPr>
          <w:rFonts w:hint="eastAsia"/>
          <w:lang w:val="en-US" w:eastAsia="zh-CN"/>
        </w:rPr>
        <w:t xml:space="preserve">5.2.1.5 </w:t>
      </w:r>
      <w:r>
        <w:rPr>
          <w:rFonts w:hint="eastAsia"/>
        </w:rPr>
        <w:t>侧柏和</w:t>
      </w:r>
      <w:r>
        <w:rPr>
          <w:rFonts w:hint="eastAsia" w:hAnsi="宋体"/>
        </w:rPr>
        <w:t>青绿饲料须鲜喂。</w:t>
      </w:r>
    </w:p>
    <w:p w14:paraId="363C60C4">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5.2.1.6 </w:t>
      </w:r>
      <w:r>
        <w:rPr>
          <w:rFonts w:hint="eastAsia" w:hAnsi="宋体"/>
        </w:rPr>
        <w:t>精饲料、矿物质饲料和添加剂蒸熟的馍除凉透后饲喂外，也可在冰箱中冷冻保存；制成的颗粒饲料保存期不超过1个月。</w:t>
      </w:r>
    </w:p>
    <w:p w14:paraId="1792F722">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Ansi="宋体"/>
        </w:rPr>
      </w:pPr>
      <w:r>
        <w:rPr>
          <w:rFonts w:hint="eastAsia"/>
          <w:lang w:val="en-US" w:eastAsia="zh-CN"/>
        </w:rPr>
        <w:t xml:space="preserve">5.2.1.7 </w:t>
      </w:r>
      <w:r>
        <w:rPr>
          <w:rFonts w:hint="eastAsia" w:hAnsi="宋体"/>
        </w:rPr>
        <w:t>每日检查鼯鼠群，并做好记录。</w:t>
      </w:r>
    </w:p>
    <w:p w14:paraId="53193252">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Ansi="宋体"/>
        </w:rPr>
      </w:pPr>
      <w:r>
        <w:rPr>
          <w:rFonts w:hint="eastAsia"/>
          <w:lang w:val="en-US" w:eastAsia="zh-CN"/>
        </w:rPr>
        <w:t xml:space="preserve">5.2.1.8 </w:t>
      </w:r>
      <w:r>
        <w:rPr>
          <w:rFonts w:hint="eastAsia" w:hAnsi="宋体"/>
        </w:rPr>
        <w:t>夏季防暑，冬季保暖，防止圈舍漏风。</w:t>
      </w:r>
    </w:p>
    <w:p w14:paraId="2B80C751">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Ansi="宋体"/>
        </w:rPr>
      </w:pPr>
      <w:r>
        <w:rPr>
          <w:rFonts w:hint="eastAsia"/>
          <w:lang w:val="en-US" w:eastAsia="zh-CN"/>
        </w:rPr>
        <w:t xml:space="preserve">5.2.1.9 </w:t>
      </w:r>
      <w:r>
        <w:rPr>
          <w:rFonts w:hint="eastAsia" w:hAnsi="宋体"/>
        </w:rPr>
        <w:t>对引进的复齿鼯鼠，应及时分配笼舍并编号。</w:t>
      </w:r>
    </w:p>
    <w:p w14:paraId="2E40D2D3">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黑体" w:hAnsi="Times New Roman" w:eastAsia="黑体" w:cs="Times New Roman"/>
          <w:sz w:val="21"/>
          <w:lang w:val="en-US" w:eastAsia="zh-CN" w:bidi="ar-SA"/>
        </w:rPr>
        <w:t>.</w:t>
      </w:r>
      <w:r>
        <w:rPr>
          <w:rFonts w:hint="eastAsia" w:cs="Times New Roman"/>
          <w:sz w:val="21"/>
          <w:lang w:val="en-US" w:eastAsia="zh-CN" w:bidi="ar-SA"/>
        </w:rPr>
        <w:t>2</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2 </w:t>
      </w:r>
      <w:r>
        <w:rPr>
          <w:rFonts w:hint="eastAsia"/>
        </w:rPr>
        <w:t>亚成体鼯鼠饲养</w:t>
      </w:r>
    </w:p>
    <w:p w14:paraId="49364E77">
      <w:pPr>
        <w:pStyle w:val="56"/>
        <w:keepNext w:val="0"/>
        <w:keepLines w:val="0"/>
        <w:pageBreakBefore w:val="0"/>
        <w:kinsoku/>
        <w:wordWrap/>
        <w:overflowPunct/>
        <w:topLinePunct w:val="0"/>
        <w:bidi w:val="0"/>
        <w:adjustRightInd/>
        <w:snapToGrid/>
        <w:spacing w:before="157" w:beforeLines="50" w:after="157" w:afterLines="50"/>
        <w:ind w:firstLine="420"/>
        <w:textAlignment w:val="auto"/>
      </w:pPr>
      <w:r>
        <w:rPr>
          <w:rFonts w:hint="eastAsia" w:ascii="黑体" w:eastAsia="黑体"/>
        </w:rPr>
        <w:t xml:space="preserve"> </w:t>
      </w:r>
      <w:r>
        <w:rPr>
          <w:rFonts w:hint="eastAsia"/>
        </w:rPr>
        <w:t>饲喂日粮：早上，精料不超过5克/只，青绿饲料不超过25克/只；晚上，侧柏不少于70克。再确保精料和青绿饲料占比之和不超过日粮30%的前提下，饲喂量可根据个体差异调整。</w:t>
      </w:r>
    </w:p>
    <w:p w14:paraId="480D08DE">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cs="Times New Roman"/>
          <w:sz w:val="21"/>
          <w:lang w:val="en-US" w:eastAsia="zh-CN" w:bidi="ar-SA"/>
        </w:rPr>
        <w:t>5</w:t>
      </w:r>
      <w:r>
        <w:rPr>
          <w:rFonts w:hint="eastAsia" w:ascii="黑体" w:hAnsi="Times New Roman" w:eastAsia="黑体" w:cs="Times New Roman"/>
          <w:sz w:val="21"/>
          <w:lang w:val="en-US" w:eastAsia="zh-CN" w:bidi="ar-SA"/>
        </w:rPr>
        <w:t>.</w:t>
      </w:r>
      <w:r>
        <w:rPr>
          <w:rFonts w:hint="eastAsia" w:cs="Times New Roman"/>
          <w:sz w:val="21"/>
          <w:lang w:val="en-US" w:eastAsia="zh-CN" w:bidi="ar-SA"/>
        </w:rPr>
        <w:t>2</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3 </w:t>
      </w:r>
      <w:r>
        <w:rPr>
          <w:rFonts w:hint="eastAsia"/>
        </w:rPr>
        <w:t>成体鼯鼠饲养</w:t>
      </w:r>
    </w:p>
    <w:p w14:paraId="74908964">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饲喂日粮：早上，精料不超过10克/只，青绿饲料不超过40克/只；晚上，侧柏不少于120克。在确保精料和青绿饲料占比之和不超过日粮30%的前提下，饲喂量可根据个体差异调整。</w:t>
      </w:r>
    </w:p>
    <w:p w14:paraId="0D710946">
      <w:pPr>
        <w:pStyle w:val="104"/>
        <w:keepNext w:val="0"/>
        <w:keepLines w:val="0"/>
        <w:pageBreakBefore w:val="0"/>
        <w:widowControl/>
        <w:kinsoku/>
        <w:wordWrap/>
        <w:overflowPunct/>
        <w:topLinePunct w:val="0"/>
        <w:autoSpaceDE/>
        <w:autoSpaceDN/>
        <w:bidi w:val="0"/>
        <w:adjustRightInd/>
        <w:snapToGrid/>
        <w:spacing w:before="313" w:beforeLines="100" w:after="313" w:afterLines="100"/>
        <w:textAlignment w:val="auto"/>
        <w:rPr>
          <w:rFonts w:hint="eastAsia"/>
        </w:rPr>
      </w:pPr>
      <w:r>
        <w:rPr>
          <w:rFonts w:hint="eastAsia"/>
          <w:lang w:val="en-US" w:eastAsia="zh-CN"/>
        </w:rPr>
        <w:t>五灵脂的</w:t>
      </w:r>
      <w:r>
        <w:rPr>
          <w:rFonts w:hint="eastAsia"/>
        </w:rPr>
        <w:t>采收</w:t>
      </w:r>
      <w:r>
        <w:rPr>
          <w:rFonts w:hint="eastAsia"/>
          <w:lang w:val="en-US" w:eastAsia="zh-CN"/>
        </w:rPr>
        <w:t>与保存</w:t>
      </w:r>
    </w:p>
    <w:p w14:paraId="5B210428">
      <w:pPr>
        <w:pStyle w:val="10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采收</w:t>
      </w:r>
    </w:p>
    <w:p w14:paraId="3D2B3579">
      <w:pPr>
        <w:pStyle w:val="16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把网状粪便接收盘中收集的复齿鼯鼠的粪便转移到晾晒场。</w:t>
      </w:r>
    </w:p>
    <w:p w14:paraId="118C7977">
      <w:pPr>
        <w:pStyle w:val="16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把尿液接收盘收集的复齿鼯鼠的尿液用纱布过滤后盛放在敞口水桶里，水桶口用纱布遮盖，放在晾晒场。</w:t>
      </w:r>
    </w:p>
    <w:p w14:paraId="50D4BE4F">
      <w:pPr>
        <w:pStyle w:val="16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粪便的采收，夏季每天采收一次，春秋季两次采收之间的时间间隔不超过1天，冬季两次采收之间的时间间隔不超过2天。</w:t>
      </w:r>
    </w:p>
    <w:p w14:paraId="178470FC">
      <w:pPr>
        <w:pStyle w:val="16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尿液的收集，两次采收之间的时间间隔不超过3天。</w:t>
      </w:r>
    </w:p>
    <w:p w14:paraId="75DD3F9B">
      <w:pPr>
        <w:pStyle w:val="105"/>
        <w:keepNext w:val="0"/>
        <w:keepLines w:val="0"/>
        <w:pageBreakBefore w:val="0"/>
        <w:kinsoku/>
        <w:wordWrap/>
        <w:overflowPunct/>
        <w:topLinePunct w:val="0"/>
        <w:bidi w:val="0"/>
        <w:adjustRightInd/>
        <w:snapToGrid/>
        <w:spacing w:before="157" w:beforeLines="50" w:after="157" w:afterLines="50"/>
        <w:textAlignment w:val="auto"/>
        <w:rPr>
          <w:rFonts w:hint="eastAsia"/>
        </w:rPr>
      </w:pPr>
      <w:r>
        <w:rPr>
          <w:rFonts w:hint="eastAsia"/>
        </w:rPr>
        <w:t>晾晒</w:t>
      </w:r>
      <w:r>
        <w:rPr>
          <w:rFonts w:hint="eastAsia"/>
          <w:lang w:val="en-US" w:eastAsia="zh-CN"/>
        </w:rPr>
        <w:t>去杂</w:t>
      </w:r>
    </w:p>
    <w:p w14:paraId="1C951F93">
      <w:pPr>
        <w:pStyle w:val="165"/>
        <w:keepNext w:val="0"/>
        <w:keepLines w:val="0"/>
        <w:pageBreakBefore w:val="0"/>
        <w:kinsoku/>
        <w:wordWrap/>
        <w:overflowPunct/>
        <w:topLinePunct w:val="0"/>
        <w:bidi w:val="0"/>
        <w:adjustRightInd/>
        <w:snapToGrid/>
        <w:spacing w:before="157" w:beforeLines="50" w:after="157" w:afterLines="50"/>
        <w:textAlignment w:val="auto"/>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晾晒</w:t>
      </w:r>
    </w:p>
    <w:p w14:paraId="712E363F">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lang w:val="en-US" w:eastAsia="zh-CN"/>
        </w:rPr>
        <w:t xml:space="preserve">6.2.1.1 </w:t>
      </w:r>
      <w:r>
        <w:rPr>
          <w:rFonts w:hint="eastAsia"/>
        </w:rPr>
        <w:t>粪便的晾晒，春秋季晴天晾晒时间不少于2天，夏季晴天晾晒时间不少于1天，冬季晴天晾晒时间不少于3天。晾晒的时间可根据粪便的干湿程度和具体的天气状况调整。</w:t>
      </w:r>
    </w:p>
    <w:p w14:paraId="2BDBFE1A">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lang w:val="en-US" w:eastAsia="zh-CN"/>
        </w:rPr>
        <w:t xml:space="preserve">6.2.1.2 </w:t>
      </w:r>
      <w:r>
        <w:rPr>
          <w:rFonts w:hint="eastAsia"/>
        </w:rPr>
        <w:t>尿液的晾晒，春秋季晴天晾晒时间不少于5天，夏季晴天晾晒时间不少于3天，冬季晴天晾晒时间不少于10天。晾晒好的尿液进行密封。晾晒的时间根据水分的蒸发程度和具体的天气状况调整。</w:t>
      </w:r>
    </w:p>
    <w:p w14:paraId="66B09C83">
      <w:pPr>
        <w:pStyle w:val="105"/>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cs="Times New Roman"/>
          <w:sz w:val="21"/>
          <w:lang w:val="en-US" w:eastAsia="zh-CN" w:bidi="ar-SA"/>
        </w:rPr>
        <w:t>6</w:t>
      </w:r>
      <w:r>
        <w:rPr>
          <w:rFonts w:hint="eastAsia" w:ascii="黑体" w:hAnsi="Times New Roman" w:eastAsia="黑体" w:cs="Times New Roman"/>
          <w:sz w:val="21"/>
          <w:lang w:val="en-US" w:eastAsia="zh-CN" w:bidi="ar-SA"/>
        </w:rPr>
        <w:t>.</w:t>
      </w:r>
      <w:r>
        <w:rPr>
          <w:rFonts w:hint="eastAsia" w:cs="Times New Roman"/>
          <w:sz w:val="21"/>
          <w:lang w:val="en-US" w:eastAsia="zh-CN" w:bidi="ar-SA"/>
        </w:rPr>
        <w:t>2</w:t>
      </w:r>
      <w:r>
        <w:rPr>
          <w:rFonts w:hint="eastAsia" w:ascii="黑体" w:hAnsi="Times New Roman" w:eastAsia="黑体" w:cs="Times New Roman"/>
          <w:sz w:val="21"/>
          <w:lang w:val="en-US" w:eastAsia="zh-CN" w:bidi="ar-SA"/>
        </w:rPr>
        <w:t>.</w:t>
      </w:r>
      <w:r>
        <w:rPr>
          <w:rFonts w:hint="eastAsia" w:cs="Times New Roman"/>
          <w:sz w:val="21"/>
          <w:lang w:val="en-US" w:eastAsia="zh-CN" w:bidi="ar-SA"/>
        </w:rPr>
        <w:t xml:space="preserve">2  </w:t>
      </w:r>
      <w:r>
        <w:rPr>
          <w:rFonts w:hint="eastAsia"/>
        </w:rPr>
        <w:t>去杂</w:t>
      </w:r>
    </w:p>
    <w:p w14:paraId="269B6F5B">
      <w:pPr>
        <w:pStyle w:val="56"/>
        <w:keepNext w:val="0"/>
        <w:keepLines w:val="0"/>
        <w:pageBreakBefore w:val="0"/>
        <w:kinsoku/>
        <w:wordWrap/>
        <w:overflowPunct/>
        <w:topLinePunct w:val="0"/>
        <w:bidi w:val="0"/>
        <w:adjustRightInd/>
        <w:snapToGrid/>
        <w:spacing w:before="157" w:beforeLines="50" w:after="157" w:afterLines="50"/>
        <w:ind w:firstLine="420"/>
        <w:textAlignment w:val="auto"/>
        <w:rPr>
          <w:rFonts w:hint="eastAsia"/>
        </w:rPr>
      </w:pPr>
      <w:r>
        <w:rPr>
          <w:rFonts w:hint="eastAsia"/>
        </w:rPr>
        <w:t>利用风选机、网筛等设备工具把晾晒好的粪便中的杂质去除干净。</w:t>
      </w:r>
    </w:p>
    <w:p w14:paraId="5B85C6EF">
      <w:pPr>
        <w:pStyle w:val="104"/>
        <w:keepNext w:val="0"/>
        <w:keepLines w:val="0"/>
        <w:pageBreakBefore w:val="0"/>
        <w:numPr>
          <w:ilvl w:val="1"/>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lang w:val="en-US" w:eastAsia="zh-CN"/>
        </w:rPr>
        <w:t xml:space="preserve">6.3  </w:t>
      </w:r>
      <w:r>
        <w:rPr>
          <w:rFonts w:hint="eastAsia"/>
        </w:rPr>
        <w:t>保存</w:t>
      </w:r>
    </w:p>
    <w:p w14:paraId="68ADD9D7">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6</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3</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1  </w:t>
      </w:r>
      <w:r>
        <w:rPr>
          <w:rFonts w:hint="eastAsia"/>
        </w:rPr>
        <w:t>粪便的保存环境应防雨，干燥，避光，防潮。</w:t>
      </w:r>
    </w:p>
    <w:p w14:paraId="0CF3A45E">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6</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3</w:t>
      </w:r>
      <w:r>
        <w:rPr>
          <w:rFonts w:hint="eastAsia" w:ascii="黑体" w:hAnsi="Times New Roman" w:eastAsia="黑体" w:cs="Times New Roman"/>
          <w:sz w:val="21"/>
          <w:lang w:val="en-US" w:eastAsia="zh-CN" w:bidi="ar-SA"/>
        </w:rPr>
        <w:t>.2</w:t>
      </w:r>
      <w:r>
        <w:rPr>
          <w:rFonts w:hint="eastAsia" w:ascii="黑体" w:eastAsia="黑体" w:cs="Times New Roman"/>
          <w:sz w:val="21"/>
          <w:lang w:val="en-US" w:eastAsia="zh-CN" w:bidi="ar-SA"/>
        </w:rPr>
        <w:t xml:space="preserve">  </w:t>
      </w:r>
      <w:r>
        <w:rPr>
          <w:rFonts w:hint="eastAsia"/>
        </w:rPr>
        <w:t>尿液的保存环境应防雨，干燥，防潮。</w:t>
      </w:r>
    </w:p>
    <w:p w14:paraId="34B9FA9A">
      <w:pPr>
        <w:pStyle w:val="104"/>
        <w:keepNext w:val="0"/>
        <w:keepLines w:val="0"/>
        <w:pageBreakBefore w:val="0"/>
        <w:widowControl/>
        <w:kinsoku/>
        <w:wordWrap/>
        <w:overflowPunct/>
        <w:topLinePunct w:val="0"/>
        <w:autoSpaceDE/>
        <w:autoSpaceDN/>
        <w:bidi w:val="0"/>
        <w:adjustRightInd/>
        <w:snapToGrid/>
        <w:spacing w:before="312" w:after="312"/>
        <w:textAlignment w:val="auto"/>
        <w:rPr>
          <w:rFonts w:hint="eastAsia"/>
        </w:rPr>
      </w:pPr>
      <w:r>
        <w:rPr>
          <w:rFonts w:hint="eastAsia"/>
          <w:lang w:val="en-US" w:eastAsia="zh-CN"/>
        </w:rPr>
        <w:t>卫生防疫</w:t>
      </w:r>
    </w:p>
    <w:p w14:paraId="64431B1B">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lang w:val="en-US" w:eastAsia="zh-CN"/>
        </w:rPr>
        <w:t xml:space="preserve">7.1  </w:t>
      </w:r>
      <w:r>
        <w:rPr>
          <w:rFonts w:hint="eastAsia"/>
        </w:rPr>
        <w:t>环境卫生</w:t>
      </w:r>
    </w:p>
    <w:p w14:paraId="5EC2FEA4">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1</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1 </w:t>
      </w:r>
      <w:r>
        <w:rPr>
          <w:rFonts w:hint="eastAsia"/>
        </w:rPr>
        <w:t>复齿鼯鼠人工饲养场的环境质量应符合 NY/T  388 的要求。</w:t>
      </w:r>
    </w:p>
    <w:p w14:paraId="3BF442BE">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1</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2 </w:t>
      </w:r>
      <w:r>
        <w:rPr>
          <w:rFonts w:hint="eastAsia"/>
        </w:rPr>
        <w:t>复齿鼯鼠人工饲养场应定期灭鼠、灭蝇。</w:t>
      </w:r>
    </w:p>
    <w:p w14:paraId="2BE3CB7A">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1</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3 </w:t>
      </w:r>
      <w:r>
        <w:rPr>
          <w:rFonts w:hint="eastAsia"/>
        </w:rPr>
        <w:t>圈舍及笼舍应定期消毒，7d</w:t>
      </w:r>
      <w:r>
        <w:rPr>
          <w:rFonts w:hint="eastAsia" w:ascii="宋体" w:hAnsi="宋体" w:eastAsia="宋体" w:cs="宋体"/>
        </w:rPr>
        <w:t>～</w:t>
      </w:r>
      <w:r>
        <w:rPr>
          <w:rFonts w:hint="eastAsia"/>
        </w:rPr>
        <w:t>10d消毒一次，每1个月更换一次消毒剂或消毒方式（喷雾、火焰、熏蒸、浸润等）。具体消毒要求应符合 NY/T 3075的规定。</w:t>
      </w:r>
    </w:p>
    <w:p w14:paraId="2C626996">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1</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4 </w:t>
      </w:r>
      <w:r>
        <w:rPr>
          <w:rFonts w:hint="eastAsia"/>
        </w:rPr>
        <w:t>场舍内的环境质量及卫生控制措施按 NY/T 1167 执行。</w:t>
      </w:r>
    </w:p>
    <w:p w14:paraId="43A88DA7">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lang w:val="en-US" w:eastAsia="zh-CN"/>
        </w:rPr>
        <w:t xml:space="preserve">7.2  </w:t>
      </w:r>
      <w:r>
        <w:rPr>
          <w:rFonts w:hint="eastAsia"/>
        </w:rPr>
        <w:t>饲养卫生</w:t>
      </w:r>
    </w:p>
    <w:p w14:paraId="42DF5827">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1 </w:t>
      </w:r>
      <w:r>
        <w:rPr>
          <w:rFonts w:hint="eastAsia"/>
        </w:rPr>
        <w:t>严禁从疫区采购饲料。</w:t>
      </w:r>
    </w:p>
    <w:p w14:paraId="706C93A4">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2 </w:t>
      </w:r>
      <w:r>
        <w:rPr>
          <w:rFonts w:hint="eastAsia"/>
        </w:rPr>
        <w:t>饲料在采集、运输、保管和加工过程中应防止污染。</w:t>
      </w:r>
    </w:p>
    <w:p w14:paraId="7DAC3ACB">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3 </w:t>
      </w:r>
      <w:r>
        <w:rPr>
          <w:rFonts w:hint="eastAsia"/>
        </w:rPr>
        <w:t>饲料储存间应防火、防潮、防虫、防鼠。</w:t>
      </w:r>
    </w:p>
    <w:p w14:paraId="1452E5C0">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4 </w:t>
      </w:r>
      <w:r>
        <w:rPr>
          <w:rFonts w:hint="eastAsia"/>
        </w:rPr>
        <w:t>水源应清洁、无污染，饮用水符合 GB  5749 的规定。</w:t>
      </w:r>
    </w:p>
    <w:p w14:paraId="2BA5A98F">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5 </w:t>
      </w:r>
      <w:r>
        <w:rPr>
          <w:rFonts w:hint="eastAsia"/>
        </w:rPr>
        <w:t>食槽、饮水器具应每天刷洗，每周用0.1%高锰酸钾等消毒一次。</w:t>
      </w:r>
    </w:p>
    <w:p w14:paraId="637BCAE1">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6 </w:t>
      </w:r>
      <w:r>
        <w:rPr>
          <w:rFonts w:hint="eastAsia"/>
        </w:rPr>
        <w:t>饲养用具应固定使用，各圈舍之间不得混用，不得出场使用。</w:t>
      </w:r>
    </w:p>
    <w:p w14:paraId="11027802">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7 </w:t>
      </w:r>
      <w:r>
        <w:rPr>
          <w:rFonts w:hint="eastAsia"/>
        </w:rPr>
        <w:t>圈舍应早晚各清扫一次，并定期消毒。垫草使用前应在阳光下暴晒消毒。</w:t>
      </w:r>
    </w:p>
    <w:p w14:paraId="079A7666">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8 你</w:t>
      </w:r>
      <w:r>
        <w:rPr>
          <w:rFonts w:hint="eastAsia"/>
        </w:rPr>
        <w:t>常用皮肤消毒药品包括酒精、笨扎溴铵溶液、碘酊和过氧化氢溶液等。</w:t>
      </w:r>
    </w:p>
    <w:p w14:paraId="7DB65CED">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2</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9 </w:t>
      </w:r>
      <w:r>
        <w:rPr>
          <w:rFonts w:hint="eastAsia"/>
        </w:rPr>
        <w:t>常用环境、器械、用具消毒药品包括复合酚、次氯酸钠溶液和氢氧化钠溶液等。</w:t>
      </w:r>
    </w:p>
    <w:p w14:paraId="3142D8FA">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textAlignment w:val="auto"/>
        <w:rPr>
          <w:rFonts w:hint="eastAsia"/>
        </w:rPr>
      </w:pPr>
      <w:r>
        <w:rPr>
          <w:rFonts w:hint="eastAsia"/>
          <w:lang w:val="en-US" w:eastAsia="zh-CN"/>
        </w:rPr>
        <w:t xml:space="preserve">7.3  </w:t>
      </w:r>
      <w:r>
        <w:rPr>
          <w:rFonts w:hint="eastAsia"/>
        </w:rPr>
        <w:t>日常检查</w:t>
      </w:r>
    </w:p>
    <w:p w14:paraId="4F1900BE">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3</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1 </w:t>
      </w:r>
      <w:r>
        <w:rPr>
          <w:rFonts w:hint="eastAsia"/>
        </w:rPr>
        <w:t>日常检查对比见表1。</w:t>
      </w:r>
    </w:p>
    <w:p w14:paraId="443CFA0A">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p>
    <w:p w14:paraId="0D1C0D0D">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p>
    <w:p w14:paraId="50C75013">
      <w:pPr>
        <w:pStyle w:val="162"/>
        <w:keepNext w:val="0"/>
        <w:keepLines w:val="0"/>
        <w:pageBreakBefore w:val="0"/>
        <w:widowControl/>
        <w:numPr>
          <w:ilvl w:val="2"/>
          <w:numId w:val="0"/>
        </w:numPr>
        <w:kinsoku/>
        <w:wordWrap/>
        <w:overflowPunct/>
        <w:topLinePunct w:val="0"/>
        <w:autoSpaceDE/>
        <w:autoSpaceDN/>
        <w:bidi w:val="0"/>
        <w:adjustRightInd/>
        <w:snapToGrid/>
        <w:spacing w:before="157" w:beforeLines="50" w:after="157" w:afterLines="50"/>
        <w:ind w:leftChars="0"/>
        <w:textAlignment w:val="auto"/>
        <w:rPr>
          <w:rFonts w:hint="eastAsia"/>
        </w:rPr>
      </w:pPr>
    </w:p>
    <w:p w14:paraId="12F64F8B">
      <w:pPr>
        <w:pStyle w:val="112"/>
        <w:spacing w:before="156" w:after="156"/>
        <w:rPr>
          <w:rFonts w:hint="eastAsia"/>
        </w:rPr>
      </w:pPr>
      <w:r>
        <w:rPr>
          <w:rFonts w:hint="eastAsia"/>
        </w:rPr>
        <w:t>复齿鼯鼠日常检查对比表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685"/>
        <w:gridCol w:w="4099"/>
      </w:tblGrid>
      <w:tr w14:paraId="201AB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shd w:val="clear" w:color="auto" w:fill="auto"/>
            <w:vAlign w:val="center"/>
          </w:tcPr>
          <w:p w14:paraId="0C2BE08A">
            <w:pPr>
              <w:pStyle w:val="178"/>
              <w:rPr>
                <w:rFonts w:hint="eastAsia"/>
              </w:rPr>
            </w:pPr>
            <w:r>
              <w:rPr>
                <w:rFonts w:hint="eastAsia"/>
              </w:rPr>
              <w:t>检查项目</w:t>
            </w:r>
          </w:p>
        </w:tc>
        <w:tc>
          <w:tcPr>
            <w:tcW w:w="3685" w:type="dxa"/>
            <w:tcBorders>
              <w:top w:val="single" w:color="auto" w:sz="8" w:space="0"/>
              <w:bottom w:val="single" w:color="auto" w:sz="8" w:space="0"/>
            </w:tcBorders>
            <w:shd w:val="clear" w:color="auto" w:fill="auto"/>
            <w:vAlign w:val="center"/>
          </w:tcPr>
          <w:p w14:paraId="496EE99E">
            <w:pPr>
              <w:pStyle w:val="178"/>
              <w:rPr>
                <w:rFonts w:hint="eastAsia"/>
              </w:rPr>
            </w:pPr>
            <w:r>
              <w:rPr>
                <w:rFonts w:hint="eastAsia"/>
              </w:rPr>
              <w:t>正常</w:t>
            </w:r>
          </w:p>
        </w:tc>
        <w:tc>
          <w:tcPr>
            <w:tcW w:w="4099" w:type="dxa"/>
            <w:tcBorders>
              <w:top w:val="single" w:color="auto" w:sz="8" w:space="0"/>
              <w:bottom w:val="single" w:color="auto" w:sz="8" w:space="0"/>
            </w:tcBorders>
            <w:shd w:val="clear" w:color="auto" w:fill="auto"/>
            <w:vAlign w:val="center"/>
          </w:tcPr>
          <w:p w14:paraId="3F1C561E">
            <w:pPr>
              <w:pStyle w:val="178"/>
              <w:rPr>
                <w:rFonts w:hint="eastAsia"/>
              </w:rPr>
            </w:pPr>
            <w:r>
              <w:rPr>
                <w:rFonts w:hint="eastAsia"/>
              </w:rPr>
              <w:t>异常</w:t>
            </w:r>
          </w:p>
        </w:tc>
      </w:tr>
      <w:tr w14:paraId="2CE9E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shd w:val="clear" w:color="auto" w:fill="auto"/>
            <w:vAlign w:val="center"/>
          </w:tcPr>
          <w:p w14:paraId="48F26BEE">
            <w:pPr>
              <w:pStyle w:val="178"/>
              <w:rPr>
                <w:rFonts w:hint="eastAsia"/>
              </w:rPr>
            </w:pPr>
            <w:r>
              <w:rPr>
                <w:rFonts w:hint="eastAsia"/>
              </w:rPr>
              <w:t>精神</w:t>
            </w:r>
          </w:p>
        </w:tc>
        <w:tc>
          <w:tcPr>
            <w:tcW w:w="3685" w:type="dxa"/>
            <w:tcBorders>
              <w:top w:val="single" w:color="auto" w:sz="8" w:space="0"/>
            </w:tcBorders>
            <w:shd w:val="clear" w:color="auto" w:fill="auto"/>
            <w:vAlign w:val="center"/>
          </w:tcPr>
          <w:p w14:paraId="376F38EE">
            <w:pPr>
              <w:pStyle w:val="178"/>
              <w:rPr>
                <w:rFonts w:hint="eastAsia"/>
              </w:rPr>
            </w:pPr>
            <w:r>
              <w:rPr>
                <w:rFonts w:hint="eastAsia"/>
              </w:rPr>
              <w:t>活泼，两眼有神，反应迅速，动作敏捷</w:t>
            </w:r>
          </w:p>
        </w:tc>
        <w:tc>
          <w:tcPr>
            <w:tcW w:w="4099" w:type="dxa"/>
            <w:tcBorders>
              <w:top w:val="single" w:color="auto" w:sz="8" w:space="0"/>
            </w:tcBorders>
            <w:shd w:val="clear" w:color="auto" w:fill="auto"/>
            <w:vAlign w:val="center"/>
          </w:tcPr>
          <w:p w14:paraId="3528247B">
            <w:pPr>
              <w:pStyle w:val="178"/>
              <w:rPr>
                <w:rFonts w:hint="eastAsia"/>
              </w:rPr>
            </w:pPr>
            <w:r>
              <w:rPr>
                <w:rFonts w:hint="eastAsia"/>
              </w:rPr>
              <w:t>精神萎靡、长时间呆立不动、贪睡不起；或寒战哆嗦、惊恐不安，间歇性突然运动、转圈等。</w:t>
            </w:r>
          </w:p>
        </w:tc>
      </w:tr>
      <w:tr w14:paraId="59FA6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5FC4E808">
            <w:pPr>
              <w:pStyle w:val="178"/>
              <w:rPr>
                <w:rFonts w:hint="eastAsia"/>
              </w:rPr>
            </w:pPr>
            <w:r>
              <w:rPr>
                <w:rFonts w:hint="eastAsia"/>
              </w:rPr>
              <w:t>食欲</w:t>
            </w:r>
          </w:p>
        </w:tc>
        <w:tc>
          <w:tcPr>
            <w:tcW w:w="3685" w:type="dxa"/>
            <w:shd w:val="clear" w:color="auto" w:fill="auto"/>
            <w:vAlign w:val="center"/>
          </w:tcPr>
          <w:p w14:paraId="4BA4C041">
            <w:pPr>
              <w:pStyle w:val="178"/>
              <w:rPr>
                <w:rFonts w:hint="eastAsia"/>
              </w:rPr>
            </w:pPr>
            <w:r>
              <w:rPr>
                <w:rFonts w:hint="eastAsia"/>
              </w:rPr>
              <w:t>采食积极、采食量正常</w:t>
            </w:r>
          </w:p>
        </w:tc>
        <w:tc>
          <w:tcPr>
            <w:tcW w:w="4099" w:type="dxa"/>
            <w:shd w:val="clear" w:color="auto" w:fill="auto"/>
            <w:vAlign w:val="center"/>
          </w:tcPr>
          <w:p w14:paraId="745723C2">
            <w:pPr>
              <w:pStyle w:val="178"/>
              <w:rPr>
                <w:rFonts w:hint="eastAsia"/>
              </w:rPr>
            </w:pPr>
            <w:r>
              <w:rPr>
                <w:rFonts w:hint="eastAsia"/>
              </w:rPr>
              <w:t>食欲减退或废绝</w:t>
            </w:r>
          </w:p>
        </w:tc>
      </w:tr>
      <w:tr w14:paraId="5DE76E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3BA7D698">
            <w:pPr>
              <w:pStyle w:val="178"/>
              <w:rPr>
                <w:rFonts w:hint="eastAsia"/>
              </w:rPr>
            </w:pPr>
            <w:r>
              <w:rPr>
                <w:rFonts w:hint="eastAsia"/>
              </w:rPr>
              <w:t>鼻镜</w:t>
            </w:r>
          </w:p>
        </w:tc>
        <w:tc>
          <w:tcPr>
            <w:tcW w:w="3685" w:type="dxa"/>
            <w:shd w:val="clear" w:color="auto" w:fill="auto"/>
            <w:vAlign w:val="center"/>
          </w:tcPr>
          <w:p w14:paraId="0033D821">
            <w:pPr>
              <w:pStyle w:val="178"/>
              <w:rPr>
                <w:rFonts w:hint="eastAsia"/>
              </w:rPr>
            </w:pPr>
            <w:r>
              <w:rPr>
                <w:rFonts w:hint="eastAsia"/>
              </w:rPr>
              <w:t>湿润，有光泽</w:t>
            </w:r>
          </w:p>
        </w:tc>
        <w:tc>
          <w:tcPr>
            <w:tcW w:w="4099" w:type="dxa"/>
            <w:shd w:val="clear" w:color="auto" w:fill="auto"/>
            <w:vAlign w:val="center"/>
          </w:tcPr>
          <w:p w14:paraId="66384319">
            <w:pPr>
              <w:pStyle w:val="178"/>
              <w:rPr>
                <w:rFonts w:hint="eastAsia"/>
              </w:rPr>
            </w:pPr>
            <w:r>
              <w:rPr>
                <w:rFonts w:hint="eastAsia"/>
              </w:rPr>
              <w:t>干燥，无光泽。</w:t>
            </w:r>
          </w:p>
        </w:tc>
      </w:tr>
      <w:tr w14:paraId="499DD7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shd w:val="clear" w:color="auto" w:fill="auto"/>
            <w:vAlign w:val="center"/>
          </w:tcPr>
          <w:p w14:paraId="6435FB9A">
            <w:pPr>
              <w:pStyle w:val="178"/>
              <w:rPr>
                <w:rFonts w:hint="eastAsia"/>
              </w:rPr>
            </w:pPr>
            <w:r>
              <w:rPr>
                <w:rFonts w:hint="eastAsia"/>
              </w:rPr>
              <w:t>粪便</w:t>
            </w:r>
          </w:p>
        </w:tc>
        <w:tc>
          <w:tcPr>
            <w:tcW w:w="3685" w:type="dxa"/>
            <w:shd w:val="clear" w:color="auto" w:fill="auto"/>
            <w:vAlign w:val="center"/>
          </w:tcPr>
          <w:p w14:paraId="7ED28620">
            <w:pPr>
              <w:pStyle w:val="178"/>
              <w:rPr>
                <w:rFonts w:hint="eastAsia"/>
              </w:rPr>
            </w:pPr>
            <w:r>
              <w:rPr>
                <w:rFonts w:hint="eastAsia"/>
              </w:rPr>
              <w:t>表面湿滑、有光泽略粗糙，落地后松散分离，呈椭圆柱形或圆柱形的颗粒，表面黑色、棕色、红棕色、灰棕色或橄榄绿色</w:t>
            </w:r>
          </w:p>
        </w:tc>
        <w:tc>
          <w:tcPr>
            <w:tcW w:w="4099" w:type="dxa"/>
            <w:shd w:val="clear" w:color="auto" w:fill="auto"/>
            <w:vAlign w:val="center"/>
          </w:tcPr>
          <w:p w14:paraId="2D8E6FD5">
            <w:pPr>
              <w:pStyle w:val="178"/>
              <w:rPr>
                <w:rFonts w:hint="eastAsia"/>
              </w:rPr>
            </w:pPr>
            <w:r>
              <w:rPr>
                <w:rFonts w:hint="eastAsia"/>
              </w:rPr>
              <w:t>粪便粘连，成团状、粥状或水样。</w:t>
            </w:r>
          </w:p>
        </w:tc>
      </w:tr>
    </w:tbl>
    <w:p w14:paraId="30C3DC38">
      <w:pPr>
        <w:pStyle w:val="56"/>
        <w:ind w:firstLine="420"/>
        <w:rPr>
          <w:rFonts w:hint="eastAsia"/>
        </w:rPr>
      </w:pPr>
    </w:p>
    <w:p w14:paraId="3095632B">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3</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2  </w:t>
      </w:r>
      <w:r>
        <w:rPr>
          <w:rFonts w:hint="eastAsia"/>
        </w:rPr>
        <w:t>如发现异常情况，及时就诊。</w:t>
      </w:r>
    </w:p>
    <w:p w14:paraId="12A492C9">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pPr>
      <w:r>
        <w:rPr>
          <w:rFonts w:hint="eastAsia"/>
          <w:lang w:val="en-US" w:eastAsia="zh-CN"/>
        </w:rPr>
        <w:t xml:space="preserve">7.4  </w:t>
      </w:r>
      <w:r>
        <w:rPr>
          <w:rFonts w:hint="eastAsia"/>
        </w:rPr>
        <w:t>防疫管理</w:t>
      </w:r>
    </w:p>
    <w:p w14:paraId="4A860DBD">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1 </w:t>
      </w:r>
      <w:r>
        <w:rPr>
          <w:rFonts w:hint="eastAsia"/>
        </w:rPr>
        <w:t>加强新引进鼯鼠的检疫工作，确定健康无病并隔离饲养2周以上无异样方可放入圈舍饲养。</w:t>
      </w:r>
    </w:p>
    <w:p w14:paraId="2C0EABCF">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2 </w:t>
      </w:r>
      <w:r>
        <w:rPr>
          <w:rFonts w:hint="eastAsia"/>
        </w:rPr>
        <w:t>出入口设消毒槽和消毒池。</w:t>
      </w:r>
    </w:p>
    <w:p w14:paraId="042A8DF5">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3 </w:t>
      </w:r>
      <w:r>
        <w:rPr>
          <w:rFonts w:hint="eastAsia"/>
        </w:rPr>
        <w:t>产地检疫按《中华人民共和国动物防疫法》规定执行。</w:t>
      </w:r>
    </w:p>
    <w:p w14:paraId="75B22C78">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4 </w:t>
      </w:r>
      <w:r>
        <w:rPr>
          <w:rFonts w:hint="eastAsia"/>
        </w:rPr>
        <w:t>隔离区圈舍由专人负责，每次出入进隔离要全身进行彻底消毒。</w:t>
      </w:r>
    </w:p>
    <w:p w14:paraId="0F64CFB4">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5 </w:t>
      </w:r>
      <w:r>
        <w:rPr>
          <w:rFonts w:hint="eastAsia"/>
        </w:rPr>
        <w:t>养殖场无法避免参观时，参观人员进行消毒后方可进入。</w:t>
      </w:r>
    </w:p>
    <w:p w14:paraId="1936A1B3">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pPr>
      <w:r>
        <w:rPr>
          <w:rFonts w:hint="eastAsia" w:ascii="黑体" w:eastAsia="黑体" w:cs="Times New Roman"/>
          <w:sz w:val="21"/>
          <w:lang w:val="en-US" w:eastAsia="zh-CN" w:bidi="ar-SA"/>
        </w:rPr>
        <w:t>7</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4</w:t>
      </w:r>
      <w:r>
        <w:rPr>
          <w:rFonts w:hint="eastAsia" w:ascii="黑体" w:hAnsi="Times New Roman" w:eastAsia="黑体" w:cs="Times New Roman"/>
          <w:sz w:val="21"/>
          <w:lang w:val="en-US" w:eastAsia="zh-CN" w:bidi="ar-SA"/>
        </w:rPr>
        <w:t>.</w:t>
      </w:r>
      <w:r>
        <w:rPr>
          <w:rFonts w:hint="eastAsia" w:ascii="黑体" w:eastAsia="黑体" w:cs="Times New Roman"/>
          <w:sz w:val="21"/>
          <w:lang w:val="en-US" w:eastAsia="zh-CN" w:bidi="ar-SA"/>
        </w:rPr>
        <w:t xml:space="preserve">6 </w:t>
      </w:r>
      <w:r>
        <w:rPr>
          <w:rFonts w:hint="eastAsia"/>
        </w:rPr>
        <w:t>运输防疫要求如下：</w:t>
      </w:r>
    </w:p>
    <w:p w14:paraId="7522069A">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7.4.6.1  </w:t>
      </w:r>
      <w:r>
        <w:rPr>
          <w:rFonts w:hint="eastAsia"/>
        </w:rPr>
        <w:t>运输前应向当地动物卫生监督机构申报。</w:t>
      </w:r>
    </w:p>
    <w:p w14:paraId="61236A33">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7.4.6.2  </w:t>
      </w:r>
      <w:r>
        <w:rPr>
          <w:rFonts w:hint="eastAsia"/>
        </w:rPr>
        <w:t>运输前，运输工具内外清洗消毒，准备运输途中的饲用具、饲料、饮用水以及运输所需要的其他工具设备。</w:t>
      </w:r>
    </w:p>
    <w:p w14:paraId="3613341F">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7.4.6.3  </w:t>
      </w:r>
      <w:r>
        <w:rPr>
          <w:rFonts w:hint="eastAsia"/>
        </w:rPr>
        <w:t>运输笼应坚固且轻便，易运输。</w:t>
      </w:r>
    </w:p>
    <w:p w14:paraId="6E02DA86">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7.4.6.4  </w:t>
      </w:r>
      <w:r>
        <w:rPr>
          <w:rFonts w:hint="eastAsia"/>
        </w:rPr>
        <w:t>运输过程中产生的粪尿分别收集起来，卸载完毕后，在规定场地对运输工具进行清洗、消毒，洗消物按照</w:t>
      </w:r>
      <w:r>
        <w:rPr>
          <w:rFonts w:ascii="Times New Roman"/>
        </w:rPr>
        <w:t xml:space="preserve"> </w:t>
      </w:r>
      <w:r>
        <w:rPr>
          <w:rFonts w:ascii="Times New Roman"/>
          <w:b/>
          <w:bCs/>
        </w:rPr>
        <w:t>HJ/T</w:t>
      </w:r>
      <w:r>
        <w:rPr>
          <w:rFonts w:hint="eastAsia" w:ascii="Times New Roman"/>
          <w:b/>
          <w:bCs/>
        </w:rPr>
        <w:t xml:space="preserve">  </w:t>
      </w:r>
      <w:r>
        <w:rPr>
          <w:rFonts w:ascii="Times New Roman"/>
          <w:b/>
          <w:bCs/>
        </w:rPr>
        <w:t>81</w:t>
      </w:r>
      <w:r>
        <w:rPr>
          <w:rFonts w:hint="eastAsia" w:hAnsi="宋体"/>
          <w:b/>
          <w:bCs/>
        </w:rPr>
        <w:t xml:space="preserve"> </w:t>
      </w:r>
      <w:r>
        <w:rPr>
          <w:rFonts w:hint="eastAsia" w:hAnsi="宋体"/>
        </w:rPr>
        <w:t>处理</w:t>
      </w:r>
      <w:r>
        <w:rPr>
          <w:rFonts w:hint="eastAsia"/>
        </w:rPr>
        <w:t>。</w:t>
      </w:r>
    </w:p>
    <w:p w14:paraId="2251ADB7">
      <w:pPr>
        <w:pStyle w:val="165"/>
        <w:keepNext w:val="0"/>
        <w:keepLines w:val="0"/>
        <w:pageBreakBefore w:val="0"/>
        <w:numPr>
          <w:ilvl w:val="3"/>
          <w:numId w:val="0"/>
        </w:numPr>
        <w:kinsoku/>
        <w:wordWrap/>
        <w:overflowPunct/>
        <w:topLinePunct w:val="0"/>
        <w:bidi w:val="0"/>
        <w:adjustRightInd/>
        <w:snapToGrid/>
        <w:spacing w:before="157" w:beforeLines="50" w:after="157" w:afterLines="50"/>
        <w:ind w:leftChars="0"/>
        <w:textAlignment w:val="auto"/>
      </w:pPr>
      <w:r>
        <w:rPr>
          <w:rFonts w:hint="eastAsia"/>
          <w:lang w:val="en-US" w:eastAsia="zh-CN"/>
        </w:rPr>
        <w:t xml:space="preserve">7.4.6.5  </w:t>
      </w:r>
      <w:r>
        <w:rPr>
          <w:rFonts w:hint="eastAsia"/>
        </w:rPr>
        <w:t>运输中死亡鼯鼠尸体按照《病死及病害动物无害化处理技术规范》进行无害化处理。</w:t>
      </w:r>
    </w:p>
    <w:p w14:paraId="216544AE">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pPr>
      <w:r>
        <w:rPr>
          <w:rFonts w:hint="eastAsia"/>
          <w:lang w:val="en-US" w:eastAsia="zh-CN"/>
        </w:rPr>
        <w:t xml:space="preserve">7.5  </w:t>
      </w:r>
      <w:r>
        <w:rPr>
          <w:rFonts w:hint="eastAsia"/>
        </w:rPr>
        <w:t>疫病预防</w:t>
      </w:r>
    </w:p>
    <w:p w14:paraId="2B2FD1AC">
      <w:pPr>
        <w:pStyle w:val="56"/>
        <w:keepNext w:val="0"/>
        <w:keepLines w:val="0"/>
        <w:pageBreakBefore w:val="0"/>
        <w:kinsoku/>
        <w:wordWrap/>
        <w:overflowPunct/>
        <w:topLinePunct w:val="0"/>
        <w:bidi w:val="0"/>
        <w:adjustRightInd/>
        <w:snapToGrid/>
        <w:spacing w:before="157" w:beforeLines="50" w:after="157" w:afterLines="50"/>
        <w:ind w:left="0" w:leftChars="0" w:firstLine="420" w:firstLineChars="200"/>
        <w:textAlignment w:val="auto"/>
      </w:pPr>
      <w:r>
        <w:rPr>
          <w:rFonts w:hint="eastAsia"/>
        </w:rPr>
        <w:t xml:space="preserve"> 6月和12月全群各驱虫一次。</w:t>
      </w:r>
    </w:p>
    <w:p w14:paraId="2BB24B2C">
      <w:pPr>
        <w:pStyle w:val="104"/>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pPr>
      <w:r>
        <w:rPr>
          <w:rFonts w:hint="eastAsia"/>
          <w:lang w:val="en-US" w:eastAsia="zh-CN"/>
        </w:rPr>
        <w:t xml:space="preserve">7.6  </w:t>
      </w:r>
      <w:r>
        <w:rPr>
          <w:rFonts w:hint="eastAsia"/>
        </w:rPr>
        <w:t>疫病的控制和扑灭</w:t>
      </w:r>
    </w:p>
    <w:p w14:paraId="242E1C3C">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r>
        <w:rPr>
          <w:rFonts w:hint="eastAsia"/>
        </w:rPr>
        <w:t>复齿鼯鼠发生疫病时，应主动上报林业主管部门，实施隔离、扑灭措施，按《中华人民共和国动物防疫法》规定执行。全场进行彻底的清洗消毒，病死复齿鼯鼠尸体按照《病死及病害动物无害化处理技术规范》进行无害化处理。</w:t>
      </w:r>
    </w:p>
    <w:p w14:paraId="4ACA21C5">
      <w:pPr>
        <w:pStyle w:val="104"/>
        <w:spacing w:before="312" w:after="312"/>
        <w:rPr>
          <w:rFonts w:hint="eastAsia"/>
        </w:rPr>
      </w:pPr>
      <w:r>
        <w:rPr>
          <w:rFonts w:hint="eastAsia"/>
          <w:lang w:val="en-US" w:eastAsia="zh-CN"/>
        </w:rPr>
        <w:t>生产记录</w:t>
      </w:r>
    </w:p>
    <w:p w14:paraId="6F1E3FB5">
      <w:pPr>
        <w:pStyle w:val="105"/>
        <w:spacing w:before="156" w:after="156"/>
        <w:rPr>
          <w:rFonts w:hint="eastAsia"/>
        </w:rPr>
      </w:pPr>
      <w:r>
        <w:rPr>
          <w:rFonts w:hint="eastAsia"/>
        </w:rPr>
        <w:t>记录的内容与格式</w:t>
      </w:r>
    </w:p>
    <w:p w14:paraId="2363B63D">
      <w:pPr>
        <w:pStyle w:val="65"/>
        <w:spacing w:before="156" w:after="156"/>
        <w:rPr>
          <w:rFonts w:hint="eastAsia"/>
        </w:rPr>
      </w:pPr>
      <w:r>
        <w:rPr>
          <w:rFonts w:hint="eastAsia"/>
        </w:rPr>
        <w:t>入舍记录</w:t>
      </w:r>
    </w:p>
    <w:p w14:paraId="19421010">
      <w:pPr>
        <w:pStyle w:val="164"/>
        <w:rPr>
          <w:rFonts w:hint="eastAsia"/>
        </w:rPr>
      </w:pPr>
      <w:r>
        <w:rPr>
          <w:rFonts w:hint="eastAsia"/>
        </w:rPr>
        <w:t>每批复齿鼯鼠入舍信息采集项目包括：入舍时间、产地、年（日）龄、性别、入舍体重、数量等。</w:t>
      </w:r>
    </w:p>
    <w:p w14:paraId="402421A7">
      <w:pPr>
        <w:pStyle w:val="164"/>
        <w:rPr>
          <w:rFonts w:hint="eastAsia"/>
        </w:rPr>
      </w:pPr>
      <w:r>
        <w:rPr>
          <w:rFonts w:hint="eastAsia"/>
        </w:rPr>
        <w:t>入舍记录的格式见附录A。</w:t>
      </w:r>
    </w:p>
    <w:p w14:paraId="275F9A42">
      <w:pPr>
        <w:pStyle w:val="65"/>
        <w:spacing w:before="156" w:after="156"/>
        <w:rPr>
          <w:rFonts w:hint="eastAsia"/>
        </w:rPr>
      </w:pPr>
      <w:r>
        <w:rPr>
          <w:rFonts w:hint="eastAsia"/>
        </w:rPr>
        <w:t>管理记录</w:t>
      </w:r>
    </w:p>
    <w:p w14:paraId="4796C3FC">
      <w:pPr>
        <w:pStyle w:val="164"/>
        <w:rPr>
          <w:rFonts w:hint="eastAsia"/>
        </w:rPr>
      </w:pPr>
      <w:r>
        <w:rPr>
          <w:rFonts w:hint="eastAsia"/>
        </w:rPr>
        <w:t>复齿鼯鼠不同阶段的情况记录内容包括：饲养记录、谱系等。</w:t>
      </w:r>
    </w:p>
    <w:p w14:paraId="4375AEEF">
      <w:pPr>
        <w:pStyle w:val="164"/>
        <w:rPr>
          <w:rFonts w:hint="eastAsia"/>
        </w:rPr>
      </w:pPr>
      <w:r>
        <w:rPr>
          <w:rFonts w:hint="eastAsia"/>
        </w:rPr>
        <w:t>管理记录格式见附录B。</w:t>
      </w:r>
    </w:p>
    <w:p w14:paraId="73577325">
      <w:pPr>
        <w:pStyle w:val="65"/>
        <w:spacing w:before="156" w:after="156"/>
        <w:rPr>
          <w:rFonts w:hint="eastAsia"/>
        </w:rPr>
      </w:pPr>
      <w:r>
        <w:rPr>
          <w:rFonts w:hint="eastAsia"/>
        </w:rPr>
        <w:t>消毒记录</w:t>
      </w:r>
    </w:p>
    <w:p w14:paraId="0796DFC8">
      <w:pPr>
        <w:pStyle w:val="164"/>
        <w:rPr>
          <w:rFonts w:hint="eastAsia"/>
        </w:rPr>
      </w:pPr>
      <w:r>
        <w:rPr>
          <w:rFonts w:hint="eastAsia"/>
        </w:rPr>
        <w:t>消毒情况记录内容包括：消毒时间、消毒对象、消毒剂名称及消毒方法等。</w:t>
      </w:r>
    </w:p>
    <w:p w14:paraId="1A3EEB71">
      <w:pPr>
        <w:pStyle w:val="164"/>
        <w:rPr>
          <w:rFonts w:hint="eastAsia"/>
        </w:rPr>
      </w:pPr>
      <w:r>
        <w:rPr>
          <w:rFonts w:hint="eastAsia"/>
        </w:rPr>
        <w:t>消毒记录格式见附录C。</w:t>
      </w:r>
    </w:p>
    <w:p w14:paraId="6A80F804">
      <w:pPr>
        <w:pStyle w:val="65"/>
        <w:spacing w:before="156" w:after="156"/>
        <w:rPr>
          <w:rFonts w:hint="eastAsia"/>
        </w:rPr>
      </w:pPr>
      <w:r>
        <w:rPr>
          <w:rFonts w:hint="eastAsia"/>
        </w:rPr>
        <w:t>疫病及诊断救治和用药记录</w:t>
      </w:r>
    </w:p>
    <w:p w14:paraId="1BE17A5E">
      <w:pPr>
        <w:pStyle w:val="164"/>
        <w:rPr>
          <w:rFonts w:hint="eastAsia"/>
        </w:rPr>
      </w:pPr>
      <w:r>
        <w:rPr>
          <w:rFonts w:hint="eastAsia"/>
        </w:rPr>
        <w:t>疫病记录内容包括：发病时间、发病对应的个体编号、症状等。</w:t>
      </w:r>
    </w:p>
    <w:p w14:paraId="2DB2715E">
      <w:pPr>
        <w:pStyle w:val="164"/>
        <w:rPr>
          <w:rFonts w:hint="eastAsia"/>
        </w:rPr>
      </w:pPr>
      <w:r>
        <w:rPr>
          <w:rFonts w:hint="eastAsia"/>
        </w:rPr>
        <w:t>诊断救治记录内容包括：诊断人员姓名、诊断结果及救治方法等。</w:t>
      </w:r>
    </w:p>
    <w:p w14:paraId="445E3E15">
      <w:pPr>
        <w:pStyle w:val="164"/>
        <w:rPr>
          <w:rFonts w:hint="eastAsia"/>
        </w:rPr>
      </w:pPr>
      <w:r>
        <w:rPr>
          <w:rFonts w:hint="eastAsia"/>
        </w:rPr>
        <w:t>用药记录内容包括：药物名称、使用方法等。</w:t>
      </w:r>
    </w:p>
    <w:p w14:paraId="3E0FAF3D">
      <w:pPr>
        <w:pStyle w:val="164"/>
        <w:rPr>
          <w:rFonts w:hint="eastAsia"/>
        </w:rPr>
      </w:pPr>
      <w:r>
        <w:rPr>
          <w:rFonts w:hint="eastAsia"/>
        </w:rPr>
        <w:t>记录格式见附录D。</w:t>
      </w:r>
    </w:p>
    <w:p w14:paraId="0D10814B">
      <w:pPr>
        <w:pStyle w:val="65"/>
        <w:spacing w:before="156" w:after="156"/>
        <w:rPr>
          <w:rFonts w:hint="eastAsia"/>
        </w:rPr>
      </w:pPr>
      <w:r>
        <w:rPr>
          <w:rFonts w:hint="eastAsia"/>
        </w:rPr>
        <w:t>五灵脂信息记录</w:t>
      </w:r>
    </w:p>
    <w:p w14:paraId="5E870342">
      <w:pPr>
        <w:pStyle w:val="164"/>
        <w:rPr>
          <w:rFonts w:hint="eastAsia"/>
        </w:rPr>
      </w:pPr>
      <w:r>
        <w:rPr>
          <w:rFonts w:hint="eastAsia"/>
        </w:rPr>
        <w:t>记录内容包括：五灵脂采收、保存及出场的情况。</w:t>
      </w:r>
    </w:p>
    <w:p w14:paraId="1302A196">
      <w:pPr>
        <w:pStyle w:val="164"/>
        <w:rPr>
          <w:rFonts w:hint="eastAsia"/>
        </w:rPr>
      </w:pPr>
      <w:r>
        <w:rPr>
          <w:rFonts w:hint="eastAsia"/>
        </w:rPr>
        <w:t>记录格式见附录E。</w:t>
      </w:r>
    </w:p>
    <w:p w14:paraId="61981D2A">
      <w:pPr>
        <w:pStyle w:val="65"/>
        <w:spacing w:before="156" w:after="156"/>
        <w:rPr>
          <w:rFonts w:hint="eastAsia"/>
        </w:rPr>
      </w:pPr>
      <w:r>
        <w:rPr>
          <w:rFonts w:hint="eastAsia"/>
        </w:rPr>
        <w:t>出场记录</w:t>
      </w:r>
    </w:p>
    <w:p w14:paraId="5AEFBDBA">
      <w:pPr>
        <w:pStyle w:val="164"/>
        <w:rPr>
          <w:rFonts w:hint="eastAsia"/>
        </w:rPr>
      </w:pPr>
      <w:r>
        <w:rPr>
          <w:rFonts w:hint="eastAsia"/>
        </w:rPr>
        <w:t>记录内容包括：数量变动、销售信息及无害化处理信息等。</w:t>
      </w:r>
    </w:p>
    <w:p w14:paraId="2E981ABA">
      <w:pPr>
        <w:pStyle w:val="164"/>
        <w:rPr>
          <w:rFonts w:hint="eastAsia"/>
        </w:rPr>
      </w:pPr>
      <w:r>
        <w:rPr>
          <w:rFonts w:hint="eastAsia"/>
        </w:rPr>
        <w:t>记录格式见附录F。</w:t>
      </w:r>
    </w:p>
    <w:p w14:paraId="6A913988">
      <w:pPr>
        <w:pStyle w:val="105"/>
        <w:spacing w:before="156" w:after="156"/>
        <w:rPr>
          <w:rFonts w:hint="eastAsia"/>
        </w:rPr>
      </w:pPr>
      <w:r>
        <w:rPr>
          <w:rFonts w:hint="eastAsia"/>
        </w:rPr>
        <w:t>填写要求</w:t>
      </w:r>
    </w:p>
    <w:p w14:paraId="0973BFC4">
      <w:pPr>
        <w:pStyle w:val="56"/>
        <w:ind w:firstLine="420"/>
        <w:rPr>
          <w:rFonts w:hint="eastAsia"/>
        </w:rPr>
      </w:pPr>
      <w:r>
        <w:rPr>
          <w:rFonts w:hint="eastAsia"/>
        </w:rPr>
        <w:t>当天信息应当天记录，每张表格填写后均应填写日期并有填表人签名。</w:t>
      </w:r>
    </w:p>
    <w:p w14:paraId="68FA31C3">
      <w:pPr>
        <w:pStyle w:val="105"/>
        <w:spacing w:before="156" w:after="156"/>
        <w:rPr>
          <w:rFonts w:hint="eastAsia"/>
        </w:rPr>
      </w:pPr>
      <w:r>
        <w:rPr>
          <w:rFonts w:hint="eastAsia"/>
        </w:rPr>
        <w:t>归档要求</w:t>
      </w:r>
    </w:p>
    <w:p w14:paraId="3E4BF177">
      <w:pPr>
        <w:pStyle w:val="165"/>
        <w:rPr>
          <w:rFonts w:hint="eastAsia"/>
        </w:rPr>
      </w:pPr>
      <w:r>
        <w:rPr>
          <w:rFonts w:hint="eastAsia"/>
        </w:rPr>
        <w:t>记录资料分类保存，并形成电子档案。</w:t>
      </w:r>
    </w:p>
    <w:p w14:paraId="6F67F078">
      <w:pPr>
        <w:pStyle w:val="165"/>
      </w:pPr>
      <w:r>
        <w:rPr>
          <w:rFonts w:hint="eastAsia"/>
        </w:rPr>
        <w:t>相关资料及时归档。</w:t>
      </w:r>
    </w:p>
    <w:p w14:paraId="60C942C8">
      <w:pPr>
        <w:pStyle w:val="162"/>
        <w:numPr>
          <w:ilvl w:val="0"/>
          <w:numId w:val="0"/>
        </w:numPr>
      </w:pPr>
    </w:p>
    <w:p w14:paraId="36A26A52">
      <w:pPr>
        <w:pStyle w:val="56"/>
        <w:ind w:firstLine="420"/>
      </w:pPr>
    </w:p>
    <w:p w14:paraId="7D921834">
      <w:pPr>
        <w:pStyle w:val="56"/>
        <w:ind w:firstLine="420"/>
      </w:pPr>
    </w:p>
    <w:p w14:paraId="34FEABDE">
      <w:pPr>
        <w:pStyle w:val="56"/>
        <w:ind w:firstLine="420"/>
      </w:pPr>
    </w:p>
    <w:p w14:paraId="499B0A62">
      <w:pPr>
        <w:pStyle w:val="56"/>
        <w:ind w:firstLine="420"/>
        <w:sectPr>
          <w:pgSz w:w="11906" w:h="16838"/>
          <w:pgMar w:top="1928" w:right="1134" w:bottom="1134" w:left="1134" w:header="1418" w:footer="1134" w:gutter="284"/>
          <w:pgNumType w:start="1"/>
          <w:cols w:space="425" w:num="1"/>
          <w:formProt w:val="0"/>
          <w:docGrid w:type="lines" w:linePitch="312" w:charSpace="0"/>
        </w:sectPr>
      </w:pPr>
    </w:p>
    <w:p w14:paraId="37CD95F9">
      <w:pPr>
        <w:pStyle w:val="198"/>
        <w:rPr>
          <w:vanish w:val="0"/>
        </w:rPr>
      </w:pPr>
      <w:bookmarkStart w:id="44" w:name="BookMark5"/>
    </w:p>
    <w:p w14:paraId="329437DD">
      <w:pPr>
        <w:pStyle w:val="199"/>
        <w:rPr>
          <w:vanish w:val="0"/>
        </w:rPr>
      </w:pPr>
    </w:p>
    <w:p w14:paraId="10670354">
      <w:pPr>
        <w:pStyle w:val="76"/>
        <w:spacing w:after="156"/>
      </w:pPr>
      <w:r>
        <w:br w:type="textWrapping"/>
      </w:r>
      <w:r>
        <w:rPr>
          <w:rFonts w:hint="eastAsia"/>
        </w:rPr>
        <w:t>（资料性）</w:t>
      </w:r>
      <w:r>
        <w:br w:type="textWrapping"/>
      </w:r>
      <w:r>
        <w:rPr>
          <w:rFonts w:hint="eastAsia"/>
        </w:rPr>
        <w:t>入舍记录</w:t>
      </w:r>
    </w:p>
    <w:p w14:paraId="37004AFF">
      <w:pPr>
        <w:pStyle w:val="78"/>
        <w:spacing w:before="156" w:after="156"/>
        <w:rPr>
          <w:rFonts w:hint="eastAsia"/>
        </w:rPr>
      </w:pPr>
      <w:r>
        <w:rPr>
          <w:rFonts w:hint="eastAsia"/>
        </w:rPr>
        <w:t>复齿鼯鼠入舍记录</w:t>
      </w:r>
    </w:p>
    <w:p w14:paraId="670FCFBA">
      <w:pPr>
        <w:pStyle w:val="56"/>
        <w:ind w:firstLine="420"/>
        <w:rPr>
          <w:rFonts w:hint="eastAsia"/>
        </w:rPr>
      </w:pPr>
      <w:r>
        <w:rPr>
          <w:rFonts w:hint="eastAsia"/>
        </w:rPr>
        <w:t>复齿鼯鼠入舍记录见表A.1。</w:t>
      </w:r>
    </w:p>
    <w:p w14:paraId="25F1A994">
      <w:pPr>
        <w:pStyle w:val="77"/>
        <w:spacing w:before="156" w:after="156"/>
      </w:pPr>
      <w:r>
        <w:rPr>
          <w:rFonts w:hint="eastAsia"/>
        </w:rPr>
        <w:t>复齿鼯鼠入舍记录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65377F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5"/>
            <w:tcBorders>
              <w:top w:val="single" w:color="auto" w:sz="8" w:space="0"/>
              <w:bottom w:val="single" w:color="auto" w:sz="8" w:space="0"/>
            </w:tcBorders>
            <w:shd w:val="clear" w:color="auto" w:fill="auto"/>
          </w:tcPr>
          <w:p w14:paraId="287AE299">
            <w:pPr>
              <w:pStyle w:val="178"/>
              <w:jc w:val="left"/>
              <w:rPr>
                <w:rFonts w:hint="eastAsia"/>
              </w:rPr>
            </w:pPr>
            <w:r>
              <w:rPr>
                <w:rFonts w:hint="eastAsia"/>
              </w:rPr>
              <w:t>时间：                      数量：                       接收人：</w:t>
            </w:r>
          </w:p>
        </w:tc>
      </w:tr>
      <w:tr w14:paraId="031FC6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6B746185">
            <w:pPr>
              <w:pStyle w:val="178"/>
            </w:pPr>
            <w:r>
              <w:rPr>
                <w:rFonts w:hint="eastAsia"/>
              </w:rPr>
              <w:t>性别</w:t>
            </w:r>
          </w:p>
        </w:tc>
        <w:tc>
          <w:tcPr>
            <w:tcW w:w="1867" w:type="dxa"/>
            <w:tcBorders>
              <w:top w:val="single" w:color="auto" w:sz="8" w:space="0"/>
              <w:bottom w:val="single" w:color="auto" w:sz="8" w:space="0"/>
            </w:tcBorders>
            <w:shd w:val="clear" w:color="auto" w:fill="auto"/>
          </w:tcPr>
          <w:p w14:paraId="7A8FC897">
            <w:pPr>
              <w:pStyle w:val="178"/>
            </w:pPr>
            <w:r>
              <w:rPr>
                <w:rFonts w:hint="eastAsia"/>
              </w:rPr>
              <w:t>年（日）龄</w:t>
            </w:r>
          </w:p>
        </w:tc>
        <w:tc>
          <w:tcPr>
            <w:tcW w:w="1867" w:type="dxa"/>
            <w:tcBorders>
              <w:top w:val="single" w:color="auto" w:sz="8" w:space="0"/>
              <w:bottom w:val="single" w:color="auto" w:sz="8" w:space="0"/>
            </w:tcBorders>
            <w:shd w:val="clear" w:color="auto" w:fill="auto"/>
          </w:tcPr>
          <w:p w14:paraId="7CDF0D5F">
            <w:pPr>
              <w:pStyle w:val="178"/>
            </w:pPr>
            <w:r>
              <w:rPr>
                <w:rFonts w:hint="eastAsia"/>
              </w:rPr>
              <w:t xml:space="preserve"> 入舍体重（㎏）</w:t>
            </w:r>
          </w:p>
        </w:tc>
        <w:tc>
          <w:tcPr>
            <w:tcW w:w="1867" w:type="dxa"/>
            <w:tcBorders>
              <w:top w:val="single" w:color="auto" w:sz="8" w:space="0"/>
              <w:bottom w:val="single" w:color="auto" w:sz="8" w:space="0"/>
            </w:tcBorders>
            <w:shd w:val="clear" w:color="auto" w:fill="auto"/>
          </w:tcPr>
          <w:p w14:paraId="24786511">
            <w:pPr>
              <w:pStyle w:val="178"/>
            </w:pPr>
            <w:r>
              <w:rPr>
                <w:rFonts w:hint="eastAsia"/>
              </w:rPr>
              <w:t>圈、笼舍号</w:t>
            </w:r>
          </w:p>
        </w:tc>
        <w:tc>
          <w:tcPr>
            <w:tcW w:w="1867" w:type="dxa"/>
            <w:tcBorders>
              <w:top w:val="single" w:color="auto" w:sz="8" w:space="0"/>
              <w:bottom w:val="single" w:color="auto" w:sz="8" w:space="0"/>
            </w:tcBorders>
            <w:shd w:val="clear" w:color="auto" w:fill="auto"/>
          </w:tcPr>
          <w:p w14:paraId="5220098D">
            <w:pPr>
              <w:pStyle w:val="178"/>
            </w:pPr>
            <w:r>
              <w:rPr>
                <w:rFonts w:hint="eastAsia"/>
              </w:rPr>
              <w:t>产地来源</w:t>
            </w:r>
          </w:p>
        </w:tc>
      </w:tr>
      <w:tr w14:paraId="18623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14DE388E">
            <w:pPr>
              <w:pStyle w:val="178"/>
            </w:pPr>
          </w:p>
        </w:tc>
        <w:tc>
          <w:tcPr>
            <w:tcW w:w="1867" w:type="dxa"/>
            <w:tcBorders>
              <w:top w:val="single" w:color="auto" w:sz="8" w:space="0"/>
            </w:tcBorders>
            <w:shd w:val="clear" w:color="auto" w:fill="auto"/>
            <w:vAlign w:val="center"/>
          </w:tcPr>
          <w:p w14:paraId="3F312D29">
            <w:pPr>
              <w:pStyle w:val="178"/>
            </w:pPr>
          </w:p>
        </w:tc>
        <w:tc>
          <w:tcPr>
            <w:tcW w:w="1867" w:type="dxa"/>
            <w:tcBorders>
              <w:top w:val="single" w:color="auto" w:sz="8" w:space="0"/>
            </w:tcBorders>
            <w:shd w:val="clear" w:color="auto" w:fill="auto"/>
            <w:vAlign w:val="center"/>
          </w:tcPr>
          <w:p w14:paraId="712ECA24">
            <w:pPr>
              <w:pStyle w:val="178"/>
            </w:pPr>
          </w:p>
        </w:tc>
        <w:tc>
          <w:tcPr>
            <w:tcW w:w="1867" w:type="dxa"/>
            <w:tcBorders>
              <w:top w:val="single" w:color="auto" w:sz="8" w:space="0"/>
            </w:tcBorders>
            <w:shd w:val="clear" w:color="auto" w:fill="auto"/>
            <w:vAlign w:val="center"/>
          </w:tcPr>
          <w:p w14:paraId="221ACBA8">
            <w:pPr>
              <w:pStyle w:val="178"/>
            </w:pPr>
          </w:p>
        </w:tc>
        <w:tc>
          <w:tcPr>
            <w:tcW w:w="1867" w:type="dxa"/>
            <w:tcBorders>
              <w:top w:val="single" w:color="auto" w:sz="8" w:space="0"/>
            </w:tcBorders>
            <w:shd w:val="clear" w:color="auto" w:fill="auto"/>
            <w:vAlign w:val="center"/>
          </w:tcPr>
          <w:p w14:paraId="1AE9862E">
            <w:pPr>
              <w:pStyle w:val="178"/>
            </w:pPr>
          </w:p>
        </w:tc>
      </w:tr>
      <w:tr w14:paraId="077E5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440AF45">
            <w:pPr>
              <w:pStyle w:val="178"/>
            </w:pPr>
          </w:p>
        </w:tc>
        <w:tc>
          <w:tcPr>
            <w:tcW w:w="1867" w:type="dxa"/>
            <w:shd w:val="clear" w:color="auto" w:fill="auto"/>
            <w:vAlign w:val="center"/>
          </w:tcPr>
          <w:p w14:paraId="47076706">
            <w:pPr>
              <w:pStyle w:val="178"/>
            </w:pPr>
          </w:p>
        </w:tc>
        <w:tc>
          <w:tcPr>
            <w:tcW w:w="1867" w:type="dxa"/>
            <w:shd w:val="clear" w:color="auto" w:fill="auto"/>
            <w:vAlign w:val="center"/>
          </w:tcPr>
          <w:p w14:paraId="041713C0">
            <w:pPr>
              <w:pStyle w:val="178"/>
            </w:pPr>
          </w:p>
        </w:tc>
        <w:tc>
          <w:tcPr>
            <w:tcW w:w="1867" w:type="dxa"/>
            <w:shd w:val="clear" w:color="auto" w:fill="auto"/>
            <w:vAlign w:val="center"/>
          </w:tcPr>
          <w:p w14:paraId="67EA9C99">
            <w:pPr>
              <w:pStyle w:val="178"/>
            </w:pPr>
          </w:p>
        </w:tc>
        <w:tc>
          <w:tcPr>
            <w:tcW w:w="1867" w:type="dxa"/>
            <w:shd w:val="clear" w:color="auto" w:fill="auto"/>
            <w:vAlign w:val="center"/>
          </w:tcPr>
          <w:p w14:paraId="5E2BD4F1">
            <w:pPr>
              <w:pStyle w:val="178"/>
            </w:pPr>
          </w:p>
        </w:tc>
      </w:tr>
      <w:tr w14:paraId="13BD5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25F1737A">
            <w:pPr>
              <w:pStyle w:val="178"/>
            </w:pPr>
          </w:p>
        </w:tc>
        <w:tc>
          <w:tcPr>
            <w:tcW w:w="1867" w:type="dxa"/>
            <w:shd w:val="clear" w:color="auto" w:fill="auto"/>
            <w:vAlign w:val="center"/>
          </w:tcPr>
          <w:p w14:paraId="1DD28D61">
            <w:pPr>
              <w:pStyle w:val="178"/>
            </w:pPr>
          </w:p>
        </w:tc>
        <w:tc>
          <w:tcPr>
            <w:tcW w:w="1867" w:type="dxa"/>
            <w:shd w:val="clear" w:color="auto" w:fill="auto"/>
            <w:vAlign w:val="center"/>
          </w:tcPr>
          <w:p w14:paraId="0BA6E66D">
            <w:pPr>
              <w:pStyle w:val="178"/>
            </w:pPr>
          </w:p>
        </w:tc>
        <w:tc>
          <w:tcPr>
            <w:tcW w:w="1867" w:type="dxa"/>
            <w:shd w:val="clear" w:color="auto" w:fill="auto"/>
            <w:vAlign w:val="center"/>
          </w:tcPr>
          <w:p w14:paraId="353ADC59">
            <w:pPr>
              <w:pStyle w:val="178"/>
            </w:pPr>
          </w:p>
        </w:tc>
        <w:tc>
          <w:tcPr>
            <w:tcW w:w="1867" w:type="dxa"/>
            <w:shd w:val="clear" w:color="auto" w:fill="auto"/>
            <w:vAlign w:val="center"/>
          </w:tcPr>
          <w:p w14:paraId="25F31974">
            <w:pPr>
              <w:pStyle w:val="178"/>
            </w:pPr>
          </w:p>
        </w:tc>
      </w:tr>
      <w:tr w14:paraId="294A3D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5"/>
            <w:shd w:val="clear" w:color="auto" w:fill="auto"/>
            <w:vAlign w:val="center"/>
          </w:tcPr>
          <w:p w14:paraId="509946F6">
            <w:pPr>
              <w:pStyle w:val="178"/>
              <w:jc w:val="left"/>
              <w:rPr>
                <w:rFonts w:hint="eastAsia"/>
              </w:rPr>
            </w:pPr>
            <w:r>
              <w:rPr>
                <w:rFonts w:hint="eastAsia"/>
              </w:rPr>
              <w:t>备注；</w:t>
            </w:r>
          </w:p>
        </w:tc>
      </w:tr>
    </w:tbl>
    <w:p w14:paraId="78127EB5">
      <w:pPr>
        <w:pStyle w:val="56"/>
        <w:ind w:firstLine="420"/>
      </w:pPr>
    </w:p>
    <w:p w14:paraId="113BD10C">
      <w:pPr>
        <w:pStyle w:val="56"/>
        <w:ind w:firstLine="420"/>
      </w:pPr>
    </w:p>
    <w:p w14:paraId="0457E4C5">
      <w:pPr>
        <w:pStyle w:val="56"/>
        <w:ind w:firstLine="420"/>
      </w:pPr>
    </w:p>
    <w:p w14:paraId="1D6A6331">
      <w:pPr>
        <w:pStyle w:val="56"/>
        <w:ind w:firstLine="420"/>
        <w:sectPr>
          <w:pgSz w:w="11906" w:h="16838"/>
          <w:pgMar w:top="1928" w:right="1134" w:bottom="1134" w:left="1134" w:header="1418" w:footer="1134" w:gutter="284"/>
          <w:cols w:space="425" w:num="1"/>
          <w:formProt w:val="0"/>
          <w:docGrid w:type="lines" w:linePitch="312" w:charSpace="0"/>
        </w:sectPr>
      </w:pPr>
    </w:p>
    <w:p w14:paraId="27A6F50B">
      <w:pPr>
        <w:pStyle w:val="198"/>
        <w:rPr>
          <w:vanish w:val="0"/>
        </w:rPr>
      </w:pPr>
    </w:p>
    <w:p w14:paraId="73E8AB59">
      <w:pPr>
        <w:pStyle w:val="199"/>
        <w:rPr>
          <w:vanish w:val="0"/>
        </w:rPr>
      </w:pPr>
    </w:p>
    <w:p w14:paraId="07DED91C">
      <w:pPr>
        <w:pStyle w:val="76"/>
        <w:spacing w:after="156"/>
        <w:rPr>
          <w:rFonts w:hint="eastAsia"/>
        </w:rPr>
      </w:pPr>
      <w:r>
        <w:br w:type="textWrapping"/>
      </w:r>
      <w:r>
        <w:rPr>
          <w:rFonts w:hint="eastAsia"/>
        </w:rPr>
        <w:t>（资料性）</w:t>
      </w:r>
      <w:r>
        <w:br w:type="textWrapping"/>
      </w:r>
      <w:r>
        <w:rPr>
          <w:rFonts w:hint="eastAsia"/>
        </w:rPr>
        <w:t>管理记录</w:t>
      </w:r>
    </w:p>
    <w:p w14:paraId="78FBE8A4">
      <w:pPr>
        <w:pStyle w:val="78"/>
        <w:spacing w:before="156" w:after="156"/>
        <w:rPr>
          <w:rFonts w:hint="eastAsia"/>
        </w:rPr>
      </w:pPr>
      <w:r>
        <w:rPr>
          <w:rFonts w:hint="eastAsia"/>
        </w:rPr>
        <w:t>复齿鼯鼠日粮记录</w:t>
      </w:r>
    </w:p>
    <w:p w14:paraId="1ABFBD30">
      <w:pPr>
        <w:pStyle w:val="56"/>
        <w:ind w:firstLine="420"/>
      </w:pPr>
      <w:r>
        <w:rPr>
          <w:rFonts w:hint="eastAsia"/>
        </w:rPr>
        <w:t>复齿鼯鼠日粮记录见表B.1。</w:t>
      </w:r>
    </w:p>
    <w:p w14:paraId="07A8EBA5">
      <w:pPr>
        <w:pStyle w:val="56"/>
        <w:ind w:firstLine="420"/>
      </w:pPr>
    </w:p>
    <w:p w14:paraId="73818A83">
      <w:pPr>
        <w:pStyle w:val="77"/>
        <w:spacing w:before="156" w:after="156"/>
      </w:pPr>
      <w:r>
        <w:rPr>
          <w:rFonts w:hint="eastAsia"/>
        </w:rPr>
        <w:t>复齿鼯鼠日粮记录表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82"/>
        <w:gridCol w:w="600"/>
        <w:gridCol w:w="600"/>
        <w:gridCol w:w="600"/>
        <w:gridCol w:w="600"/>
        <w:gridCol w:w="600"/>
        <w:gridCol w:w="600"/>
        <w:gridCol w:w="600"/>
        <w:gridCol w:w="600"/>
        <w:gridCol w:w="600"/>
        <w:gridCol w:w="793"/>
        <w:gridCol w:w="793"/>
        <w:gridCol w:w="806"/>
      </w:tblGrid>
      <w:tr w14:paraId="0B0EA3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000" w:type="pct"/>
            <w:gridSpan w:val="13"/>
            <w:tcBorders>
              <w:top w:val="single" w:color="auto" w:sz="8" w:space="0"/>
              <w:bottom w:val="single" w:color="auto" w:sz="8" w:space="0"/>
            </w:tcBorders>
            <w:shd w:val="clear" w:color="auto" w:fill="auto"/>
            <w:vAlign w:val="center"/>
          </w:tcPr>
          <w:p w14:paraId="21F98342">
            <w:pPr>
              <w:pStyle w:val="178"/>
            </w:pPr>
            <w:r>
              <w:rPr>
                <w:rFonts w:hint="eastAsia"/>
              </w:rPr>
              <w:t>﹝幼体( )/亚成体( )/成体( ）﹞复齿鼯鼠</w:t>
            </w:r>
          </w:p>
        </w:tc>
      </w:tr>
      <w:tr w14:paraId="3E4FA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4" w:type="pct"/>
            <w:tcBorders>
              <w:top w:val="single" w:color="auto" w:sz="8" w:space="0"/>
            </w:tcBorders>
            <w:shd w:val="clear" w:color="auto" w:fill="auto"/>
          </w:tcPr>
          <w:p w14:paraId="6CCDC196">
            <w:pPr>
              <w:pStyle w:val="178"/>
            </w:pPr>
            <w:r>
              <w:rPr>
                <w:rFonts w:hint="eastAsia"/>
              </w:rPr>
              <w:t>饲料种类</w:t>
            </w:r>
          </w:p>
        </w:tc>
        <w:tc>
          <w:tcPr>
            <w:tcW w:w="320" w:type="pct"/>
            <w:tcBorders>
              <w:top w:val="single" w:color="auto" w:sz="8" w:space="0"/>
            </w:tcBorders>
            <w:shd w:val="clear" w:color="auto" w:fill="auto"/>
          </w:tcPr>
          <w:p w14:paraId="4A0527D1">
            <w:pPr>
              <w:pStyle w:val="178"/>
            </w:pPr>
            <w:r>
              <w:rPr>
                <w:rFonts w:hint="eastAsia"/>
              </w:rPr>
              <w:t>1月</w:t>
            </w:r>
          </w:p>
        </w:tc>
        <w:tc>
          <w:tcPr>
            <w:tcW w:w="320" w:type="pct"/>
            <w:tcBorders>
              <w:top w:val="single" w:color="auto" w:sz="8" w:space="0"/>
            </w:tcBorders>
            <w:shd w:val="clear" w:color="auto" w:fill="auto"/>
          </w:tcPr>
          <w:p w14:paraId="426E19CE">
            <w:pPr>
              <w:pStyle w:val="178"/>
            </w:pPr>
            <w:r>
              <w:rPr>
                <w:rFonts w:hint="eastAsia"/>
              </w:rPr>
              <w:t>2月</w:t>
            </w:r>
          </w:p>
        </w:tc>
        <w:tc>
          <w:tcPr>
            <w:tcW w:w="320" w:type="pct"/>
            <w:tcBorders>
              <w:top w:val="single" w:color="auto" w:sz="8" w:space="0"/>
            </w:tcBorders>
            <w:shd w:val="clear" w:color="auto" w:fill="auto"/>
          </w:tcPr>
          <w:p w14:paraId="185DB28F">
            <w:pPr>
              <w:pStyle w:val="178"/>
            </w:pPr>
            <w:r>
              <w:rPr>
                <w:rFonts w:hint="eastAsia"/>
              </w:rPr>
              <w:t>3月</w:t>
            </w:r>
          </w:p>
        </w:tc>
        <w:tc>
          <w:tcPr>
            <w:tcW w:w="320" w:type="pct"/>
            <w:tcBorders>
              <w:top w:val="single" w:color="auto" w:sz="8" w:space="0"/>
            </w:tcBorders>
            <w:shd w:val="clear" w:color="auto" w:fill="auto"/>
          </w:tcPr>
          <w:p w14:paraId="7BB07139">
            <w:pPr>
              <w:pStyle w:val="178"/>
            </w:pPr>
            <w:r>
              <w:rPr>
                <w:rFonts w:hint="eastAsia"/>
              </w:rPr>
              <w:t>4月</w:t>
            </w:r>
          </w:p>
        </w:tc>
        <w:tc>
          <w:tcPr>
            <w:tcW w:w="320" w:type="pct"/>
            <w:tcBorders>
              <w:top w:val="single" w:color="auto" w:sz="8" w:space="0"/>
            </w:tcBorders>
            <w:shd w:val="clear" w:color="auto" w:fill="auto"/>
          </w:tcPr>
          <w:p w14:paraId="31A938F9">
            <w:pPr>
              <w:pStyle w:val="178"/>
            </w:pPr>
            <w:r>
              <w:rPr>
                <w:rFonts w:hint="eastAsia"/>
              </w:rPr>
              <w:t>5月</w:t>
            </w:r>
          </w:p>
        </w:tc>
        <w:tc>
          <w:tcPr>
            <w:tcW w:w="320" w:type="pct"/>
            <w:tcBorders>
              <w:top w:val="single" w:color="auto" w:sz="8" w:space="0"/>
            </w:tcBorders>
            <w:shd w:val="clear" w:color="auto" w:fill="auto"/>
          </w:tcPr>
          <w:p w14:paraId="501CF15D">
            <w:pPr>
              <w:pStyle w:val="178"/>
            </w:pPr>
            <w:r>
              <w:rPr>
                <w:rFonts w:hint="eastAsia"/>
              </w:rPr>
              <w:t>6月</w:t>
            </w:r>
          </w:p>
        </w:tc>
        <w:tc>
          <w:tcPr>
            <w:tcW w:w="320" w:type="pct"/>
            <w:tcBorders>
              <w:top w:val="single" w:color="auto" w:sz="8" w:space="0"/>
            </w:tcBorders>
            <w:shd w:val="clear" w:color="auto" w:fill="auto"/>
          </w:tcPr>
          <w:p w14:paraId="04529AE7">
            <w:pPr>
              <w:pStyle w:val="178"/>
            </w:pPr>
            <w:r>
              <w:rPr>
                <w:rFonts w:hint="eastAsia"/>
              </w:rPr>
              <w:t>7月</w:t>
            </w:r>
          </w:p>
        </w:tc>
        <w:tc>
          <w:tcPr>
            <w:tcW w:w="320" w:type="pct"/>
            <w:tcBorders>
              <w:top w:val="single" w:color="auto" w:sz="8" w:space="0"/>
            </w:tcBorders>
            <w:shd w:val="clear" w:color="auto" w:fill="auto"/>
          </w:tcPr>
          <w:p w14:paraId="630EB90E">
            <w:pPr>
              <w:pStyle w:val="178"/>
            </w:pPr>
            <w:r>
              <w:rPr>
                <w:rFonts w:hint="eastAsia"/>
              </w:rPr>
              <w:t>8月</w:t>
            </w:r>
          </w:p>
        </w:tc>
        <w:tc>
          <w:tcPr>
            <w:tcW w:w="320" w:type="pct"/>
            <w:tcBorders>
              <w:top w:val="single" w:color="auto" w:sz="8" w:space="0"/>
            </w:tcBorders>
            <w:shd w:val="clear" w:color="auto" w:fill="auto"/>
          </w:tcPr>
          <w:p w14:paraId="10F67D59">
            <w:pPr>
              <w:pStyle w:val="178"/>
            </w:pPr>
            <w:r>
              <w:rPr>
                <w:rFonts w:hint="eastAsia"/>
              </w:rPr>
              <w:t>9月</w:t>
            </w:r>
          </w:p>
        </w:tc>
        <w:tc>
          <w:tcPr>
            <w:tcW w:w="423" w:type="pct"/>
            <w:tcBorders>
              <w:top w:val="single" w:color="auto" w:sz="8" w:space="0"/>
            </w:tcBorders>
            <w:shd w:val="clear" w:color="auto" w:fill="auto"/>
          </w:tcPr>
          <w:p w14:paraId="5285CD9F">
            <w:pPr>
              <w:pStyle w:val="178"/>
            </w:pPr>
            <w:r>
              <w:rPr>
                <w:rFonts w:hint="eastAsia"/>
              </w:rPr>
              <w:t>10月</w:t>
            </w:r>
          </w:p>
        </w:tc>
        <w:tc>
          <w:tcPr>
            <w:tcW w:w="423" w:type="pct"/>
            <w:tcBorders>
              <w:top w:val="single" w:color="auto" w:sz="8" w:space="0"/>
            </w:tcBorders>
            <w:shd w:val="clear" w:color="auto" w:fill="auto"/>
          </w:tcPr>
          <w:p w14:paraId="0957D34E">
            <w:pPr>
              <w:pStyle w:val="178"/>
            </w:pPr>
            <w:r>
              <w:rPr>
                <w:rFonts w:hint="eastAsia"/>
              </w:rPr>
              <w:t>11月</w:t>
            </w:r>
          </w:p>
        </w:tc>
        <w:tc>
          <w:tcPr>
            <w:tcW w:w="431" w:type="pct"/>
            <w:tcBorders>
              <w:top w:val="single" w:color="auto" w:sz="8" w:space="0"/>
            </w:tcBorders>
            <w:shd w:val="clear" w:color="auto" w:fill="auto"/>
          </w:tcPr>
          <w:p w14:paraId="3C6C4324">
            <w:pPr>
              <w:pStyle w:val="178"/>
            </w:pPr>
            <w:r>
              <w:rPr>
                <w:rFonts w:hint="eastAsia"/>
              </w:rPr>
              <w:t>12月</w:t>
            </w:r>
          </w:p>
        </w:tc>
      </w:tr>
      <w:tr w14:paraId="45BA4D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4" w:type="pct"/>
            <w:shd w:val="clear" w:color="auto" w:fill="auto"/>
            <w:vAlign w:val="center"/>
          </w:tcPr>
          <w:p w14:paraId="5F37D357">
            <w:pPr>
              <w:pStyle w:val="178"/>
            </w:pPr>
          </w:p>
        </w:tc>
        <w:tc>
          <w:tcPr>
            <w:tcW w:w="320" w:type="pct"/>
            <w:shd w:val="clear" w:color="auto" w:fill="auto"/>
            <w:vAlign w:val="center"/>
          </w:tcPr>
          <w:p w14:paraId="2FDDD988">
            <w:pPr>
              <w:pStyle w:val="178"/>
            </w:pPr>
          </w:p>
        </w:tc>
        <w:tc>
          <w:tcPr>
            <w:tcW w:w="320" w:type="pct"/>
            <w:shd w:val="clear" w:color="auto" w:fill="auto"/>
            <w:vAlign w:val="center"/>
          </w:tcPr>
          <w:p w14:paraId="1BACBF1F">
            <w:pPr>
              <w:pStyle w:val="178"/>
            </w:pPr>
          </w:p>
        </w:tc>
        <w:tc>
          <w:tcPr>
            <w:tcW w:w="320" w:type="pct"/>
            <w:shd w:val="clear" w:color="auto" w:fill="auto"/>
            <w:vAlign w:val="center"/>
          </w:tcPr>
          <w:p w14:paraId="1272D4C9">
            <w:pPr>
              <w:pStyle w:val="178"/>
            </w:pPr>
          </w:p>
        </w:tc>
        <w:tc>
          <w:tcPr>
            <w:tcW w:w="320" w:type="pct"/>
            <w:shd w:val="clear" w:color="auto" w:fill="auto"/>
            <w:vAlign w:val="center"/>
          </w:tcPr>
          <w:p w14:paraId="02F86D1C">
            <w:pPr>
              <w:pStyle w:val="178"/>
            </w:pPr>
          </w:p>
        </w:tc>
        <w:tc>
          <w:tcPr>
            <w:tcW w:w="320" w:type="pct"/>
            <w:shd w:val="clear" w:color="auto" w:fill="auto"/>
            <w:vAlign w:val="center"/>
          </w:tcPr>
          <w:p w14:paraId="158D4592">
            <w:pPr>
              <w:pStyle w:val="178"/>
            </w:pPr>
          </w:p>
        </w:tc>
        <w:tc>
          <w:tcPr>
            <w:tcW w:w="320" w:type="pct"/>
            <w:shd w:val="clear" w:color="auto" w:fill="auto"/>
            <w:vAlign w:val="center"/>
          </w:tcPr>
          <w:p w14:paraId="3E44B5F5">
            <w:pPr>
              <w:pStyle w:val="178"/>
            </w:pPr>
          </w:p>
        </w:tc>
        <w:tc>
          <w:tcPr>
            <w:tcW w:w="320" w:type="pct"/>
            <w:shd w:val="clear" w:color="auto" w:fill="auto"/>
            <w:vAlign w:val="center"/>
          </w:tcPr>
          <w:p w14:paraId="0509EEDB">
            <w:pPr>
              <w:pStyle w:val="178"/>
            </w:pPr>
          </w:p>
        </w:tc>
        <w:tc>
          <w:tcPr>
            <w:tcW w:w="320" w:type="pct"/>
            <w:shd w:val="clear" w:color="auto" w:fill="auto"/>
            <w:vAlign w:val="center"/>
          </w:tcPr>
          <w:p w14:paraId="0E2AB8DE">
            <w:pPr>
              <w:pStyle w:val="178"/>
            </w:pPr>
          </w:p>
        </w:tc>
        <w:tc>
          <w:tcPr>
            <w:tcW w:w="320" w:type="pct"/>
            <w:shd w:val="clear" w:color="auto" w:fill="auto"/>
            <w:vAlign w:val="center"/>
          </w:tcPr>
          <w:p w14:paraId="71D9EC15">
            <w:pPr>
              <w:pStyle w:val="178"/>
            </w:pPr>
          </w:p>
        </w:tc>
        <w:tc>
          <w:tcPr>
            <w:tcW w:w="423" w:type="pct"/>
            <w:shd w:val="clear" w:color="auto" w:fill="auto"/>
            <w:vAlign w:val="center"/>
          </w:tcPr>
          <w:p w14:paraId="0E747653">
            <w:pPr>
              <w:pStyle w:val="178"/>
            </w:pPr>
          </w:p>
        </w:tc>
        <w:tc>
          <w:tcPr>
            <w:tcW w:w="423" w:type="pct"/>
            <w:shd w:val="clear" w:color="auto" w:fill="auto"/>
            <w:vAlign w:val="center"/>
          </w:tcPr>
          <w:p w14:paraId="399AB55E">
            <w:pPr>
              <w:pStyle w:val="178"/>
            </w:pPr>
          </w:p>
        </w:tc>
        <w:tc>
          <w:tcPr>
            <w:tcW w:w="431" w:type="pct"/>
            <w:shd w:val="clear" w:color="auto" w:fill="auto"/>
            <w:vAlign w:val="center"/>
          </w:tcPr>
          <w:p w14:paraId="129A3574">
            <w:pPr>
              <w:pStyle w:val="178"/>
            </w:pPr>
          </w:p>
        </w:tc>
      </w:tr>
      <w:tr w14:paraId="5F462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4" w:type="pct"/>
            <w:shd w:val="clear" w:color="auto" w:fill="auto"/>
            <w:vAlign w:val="center"/>
          </w:tcPr>
          <w:p w14:paraId="28F34F80">
            <w:pPr>
              <w:pStyle w:val="178"/>
            </w:pPr>
          </w:p>
        </w:tc>
        <w:tc>
          <w:tcPr>
            <w:tcW w:w="320" w:type="pct"/>
            <w:shd w:val="clear" w:color="auto" w:fill="auto"/>
            <w:vAlign w:val="center"/>
          </w:tcPr>
          <w:p w14:paraId="4F785B34">
            <w:pPr>
              <w:pStyle w:val="178"/>
            </w:pPr>
          </w:p>
        </w:tc>
        <w:tc>
          <w:tcPr>
            <w:tcW w:w="320" w:type="pct"/>
            <w:shd w:val="clear" w:color="auto" w:fill="auto"/>
            <w:vAlign w:val="center"/>
          </w:tcPr>
          <w:p w14:paraId="4891E950">
            <w:pPr>
              <w:pStyle w:val="178"/>
            </w:pPr>
          </w:p>
        </w:tc>
        <w:tc>
          <w:tcPr>
            <w:tcW w:w="320" w:type="pct"/>
            <w:shd w:val="clear" w:color="auto" w:fill="auto"/>
            <w:vAlign w:val="center"/>
          </w:tcPr>
          <w:p w14:paraId="0D2E4EC4">
            <w:pPr>
              <w:pStyle w:val="178"/>
            </w:pPr>
          </w:p>
        </w:tc>
        <w:tc>
          <w:tcPr>
            <w:tcW w:w="320" w:type="pct"/>
            <w:shd w:val="clear" w:color="auto" w:fill="auto"/>
            <w:vAlign w:val="center"/>
          </w:tcPr>
          <w:p w14:paraId="374F1238">
            <w:pPr>
              <w:pStyle w:val="178"/>
            </w:pPr>
          </w:p>
        </w:tc>
        <w:tc>
          <w:tcPr>
            <w:tcW w:w="320" w:type="pct"/>
            <w:shd w:val="clear" w:color="auto" w:fill="auto"/>
            <w:vAlign w:val="center"/>
          </w:tcPr>
          <w:p w14:paraId="5F97F24F">
            <w:pPr>
              <w:pStyle w:val="178"/>
            </w:pPr>
          </w:p>
        </w:tc>
        <w:tc>
          <w:tcPr>
            <w:tcW w:w="320" w:type="pct"/>
            <w:shd w:val="clear" w:color="auto" w:fill="auto"/>
            <w:vAlign w:val="center"/>
          </w:tcPr>
          <w:p w14:paraId="54E79D7B">
            <w:pPr>
              <w:pStyle w:val="178"/>
            </w:pPr>
          </w:p>
        </w:tc>
        <w:tc>
          <w:tcPr>
            <w:tcW w:w="320" w:type="pct"/>
            <w:shd w:val="clear" w:color="auto" w:fill="auto"/>
            <w:vAlign w:val="center"/>
          </w:tcPr>
          <w:p w14:paraId="1ADD8928">
            <w:pPr>
              <w:pStyle w:val="178"/>
            </w:pPr>
          </w:p>
        </w:tc>
        <w:tc>
          <w:tcPr>
            <w:tcW w:w="320" w:type="pct"/>
            <w:shd w:val="clear" w:color="auto" w:fill="auto"/>
            <w:vAlign w:val="center"/>
          </w:tcPr>
          <w:p w14:paraId="7864F639">
            <w:pPr>
              <w:pStyle w:val="178"/>
            </w:pPr>
          </w:p>
        </w:tc>
        <w:tc>
          <w:tcPr>
            <w:tcW w:w="320" w:type="pct"/>
            <w:shd w:val="clear" w:color="auto" w:fill="auto"/>
            <w:vAlign w:val="center"/>
          </w:tcPr>
          <w:p w14:paraId="44D4C662">
            <w:pPr>
              <w:pStyle w:val="178"/>
            </w:pPr>
          </w:p>
        </w:tc>
        <w:tc>
          <w:tcPr>
            <w:tcW w:w="423" w:type="pct"/>
            <w:shd w:val="clear" w:color="auto" w:fill="auto"/>
            <w:vAlign w:val="center"/>
          </w:tcPr>
          <w:p w14:paraId="7CD4D6F4">
            <w:pPr>
              <w:pStyle w:val="178"/>
            </w:pPr>
          </w:p>
        </w:tc>
        <w:tc>
          <w:tcPr>
            <w:tcW w:w="423" w:type="pct"/>
            <w:shd w:val="clear" w:color="auto" w:fill="auto"/>
            <w:vAlign w:val="center"/>
          </w:tcPr>
          <w:p w14:paraId="62CE44B3">
            <w:pPr>
              <w:pStyle w:val="178"/>
            </w:pPr>
          </w:p>
        </w:tc>
        <w:tc>
          <w:tcPr>
            <w:tcW w:w="431" w:type="pct"/>
            <w:shd w:val="clear" w:color="auto" w:fill="auto"/>
            <w:vAlign w:val="center"/>
          </w:tcPr>
          <w:p w14:paraId="07F5C626">
            <w:pPr>
              <w:pStyle w:val="178"/>
            </w:pPr>
          </w:p>
        </w:tc>
      </w:tr>
      <w:tr w14:paraId="4FDD84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4" w:type="pct"/>
            <w:shd w:val="clear" w:color="auto" w:fill="auto"/>
            <w:vAlign w:val="center"/>
          </w:tcPr>
          <w:p w14:paraId="07C7D706">
            <w:pPr>
              <w:pStyle w:val="178"/>
            </w:pPr>
          </w:p>
        </w:tc>
        <w:tc>
          <w:tcPr>
            <w:tcW w:w="320" w:type="pct"/>
            <w:shd w:val="clear" w:color="auto" w:fill="auto"/>
            <w:vAlign w:val="center"/>
          </w:tcPr>
          <w:p w14:paraId="5C5EFB90">
            <w:pPr>
              <w:pStyle w:val="178"/>
            </w:pPr>
          </w:p>
        </w:tc>
        <w:tc>
          <w:tcPr>
            <w:tcW w:w="320" w:type="pct"/>
            <w:shd w:val="clear" w:color="auto" w:fill="auto"/>
            <w:vAlign w:val="center"/>
          </w:tcPr>
          <w:p w14:paraId="6EADEA36">
            <w:pPr>
              <w:pStyle w:val="178"/>
            </w:pPr>
          </w:p>
        </w:tc>
        <w:tc>
          <w:tcPr>
            <w:tcW w:w="320" w:type="pct"/>
            <w:shd w:val="clear" w:color="auto" w:fill="auto"/>
            <w:vAlign w:val="center"/>
          </w:tcPr>
          <w:p w14:paraId="049841E9">
            <w:pPr>
              <w:pStyle w:val="178"/>
            </w:pPr>
          </w:p>
        </w:tc>
        <w:tc>
          <w:tcPr>
            <w:tcW w:w="320" w:type="pct"/>
            <w:shd w:val="clear" w:color="auto" w:fill="auto"/>
            <w:vAlign w:val="center"/>
          </w:tcPr>
          <w:p w14:paraId="73F492B4">
            <w:pPr>
              <w:pStyle w:val="178"/>
            </w:pPr>
          </w:p>
        </w:tc>
        <w:tc>
          <w:tcPr>
            <w:tcW w:w="320" w:type="pct"/>
            <w:shd w:val="clear" w:color="auto" w:fill="auto"/>
            <w:vAlign w:val="center"/>
          </w:tcPr>
          <w:p w14:paraId="23A97AA5">
            <w:pPr>
              <w:pStyle w:val="178"/>
            </w:pPr>
          </w:p>
        </w:tc>
        <w:tc>
          <w:tcPr>
            <w:tcW w:w="320" w:type="pct"/>
            <w:shd w:val="clear" w:color="auto" w:fill="auto"/>
            <w:vAlign w:val="center"/>
          </w:tcPr>
          <w:p w14:paraId="5D8A8A8D">
            <w:pPr>
              <w:pStyle w:val="178"/>
            </w:pPr>
          </w:p>
        </w:tc>
        <w:tc>
          <w:tcPr>
            <w:tcW w:w="320" w:type="pct"/>
            <w:shd w:val="clear" w:color="auto" w:fill="auto"/>
            <w:vAlign w:val="center"/>
          </w:tcPr>
          <w:p w14:paraId="4ED3068A">
            <w:pPr>
              <w:pStyle w:val="178"/>
            </w:pPr>
          </w:p>
        </w:tc>
        <w:tc>
          <w:tcPr>
            <w:tcW w:w="320" w:type="pct"/>
            <w:shd w:val="clear" w:color="auto" w:fill="auto"/>
            <w:vAlign w:val="center"/>
          </w:tcPr>
          <w:p w14:paraId="540CC770">
            <w:pPr>
              <w:pStyle w:val="178"/>
            </w:pPr>
          </w:p>
        </w:tc>
        <w:tc>
          <w:tcPr>
            <w:tcW w:w="320" w:type="pct"/>
            <w:shd w:val="clear" w:color="auto" w:fill="auto"/>
            <w:vAlign w:val="center"/>
          </w:tcPr>
          <w:p w14:paraId="1BB095EA">
            <w:pPr>
              <w:pStyle w:val="178"/>
            </w:pPr>
          </w:p>
        </w:tc>
        <w:tc>
          <w:tcPr>
            <w:tcW w:w="423" w:type="pct"/>
            <w:shd w:val="clear" w:color="auto" w:fill="auto"/>
            <w:vAlign w:val="center"/>
          </w:tcPr>
          <w:p w14:paraId="451C5837">
            <w:pPr>
              <w:pStyle w:val="178"/>
            </w:pPr>
          </w:p>
        </w:tc>
        <w:tc>
          <w:tcPr>
            <w:tcW w:w="423" w:type="pct"/>
            <w:shd w:val="clear" w:color="auto" w:fill="auto"/>
            <w:vAlign w:val="center"/>
          </w:tcPr>
          <w:p w14:paraId="2049BF33">
            <w:pPr>
              <w:pStyle w:val="178"/>
            </w:pPr>
          </w:p>
        </w:tc>
        <w:tc>
          <w:tcPr>
            <w:tcW w:w="431" w:type="pct"/>
            <w:shd w:val="clear" w:color="auto" w:fill="auto"/>
            <w:vAlign w:val="center"/>
          </w:tcPr>
          <w:p w14:paraId="6BCE2E8D">
            <w:pPr>
              <w:pStyle w:val="178"/>
            </w:pPr>
          </w:p>
        </w:tc>
      </w:tr>
      <w:tr w14:paraId="77323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4" w:type="pct"/>
            <w:tcBorders>
              <w:bottom w:val="single" w:color="auto" w:sz="8" w:space="0"/>
            </w:tcBorders>
            <w:shd w:val="clear" w:color="auto" w:fill="auto"/>
            <w:vAlign w:val="center"/>
          </w:tcPr>
          <w:p w14:paraId="48AC7DA3">
            <w:pPr>
              <w:pStyle w:val="178"/>
            </w:pPr>
            <w:r>
              <w:rPr>
                <w:rFonts w:hint="eastAsia"/>
              </w:rPr>
              <w:t>合计</w:t>
            </w:r>
          </w:p>
        </w:tc>
        <w:tc>
          <w:tcPr>
            <w:tcW w:w="320" w:type="pct"/>
            <w:tcBorders>
              <w:bottom w:val="single" w:color="auto" w:sz="8" w:space="0"/>
            </w:tcBorders>
            <w:shd w:val="clear" w:color="auto" w:fill="auto"/>
            <w:vAlign w:val="center"/>
          </w:tcPr>
          <w:p w14:paraId="2FF56AA4">
            <w:pPr>
              <w:pStyle w:val="178"/>
            </w:pPr>
          </w:p>
        </w:tc>
        <w:tc>
          <w:tcPr>
            <w:tcW w:w="320" w:type="pct"/>
            <w:tcBorders>
              <w:bottom w:val="single" w:color="auto" w:sz="8" w:space="0"/>
            </w:tcBorders>
            <w:shd w:val="clear" w:color="auto" w:fill="auto"/>
            <w:vAlign w:val="center"/>
          </w:tcPr>
          <w:p w14:paraId="0CD46674">
            <w:pPr>
              <w:pStyle w:val="178"/>
            </w:pPr>
          </w:p>
        </w:tc>
        <w:tc>
          <w:tcPr>
            <w:tcW w:w="320" w:type="pct"/>
            <w:tcBorders>
              <w:bottom w:val="single" w:color="auto" w:sz="8" w:space="0"/>
            </w:tcBorders>
            <w:shd w:val="clear" w:color="auto" w:fill="auto"/>
            <w:vAlign w:val="center"/>
          </w:tcPr>
          <w:p w14:paraId="569AB91B">
            <w:pPr>
              <w:pStyle w:val="178"/>
            </w:pPr>
          </w:p>
        </w:tc>
        <w:tc>
          <w:tcPr>
            <w:tcW w:w="320" w:type="pct"/>
            <w:tcBorders>
              <w:bottom w:val="single" w:color="auto" w:sz="8" w:space="0"/>
            </w:tcBorders>
            <w:shd w:val="clear" w:color="auto" w:fill="auto"/>
            <w:vAlign w:val="center"/>
          </w:tcPr>
          <w:p w14:paraId="1F7B5854">
            <w:pPr>
              <w:pStyle w:val="178"/>
            </w:pPr>
          </w:p>
        </w:tc>
        <w:tc>
          <w:tcPr>
            <w:tcW w:w="320" w:type="pct"/>
            <w:tcBorders>
              <w:bottom w:val="single" w:color="auto" w:sz="8" w:space="0"/>
            </w:tcBorders>
            <w:shd w:val="clear" w:color="auto" w:fill="auto"/>
            <w:vAlign w:val="center"/>
          </w:tcPr>
          <w:p w14:paraId="353258C0">
            <w:pPr>
              <w:pStyle w:val="178"/>
            </w:pPr>
          </w:p>
        </w:tc>
        <w:tc>
          <w:tcPr>
            <w:tcW w:w="320" w:type="pct"/>
            <w:tcBorders>
              <w:bottom w:val="single" w:color="auto" w:sz="8" w:space="0"/>
            </w:tcBorders>
            <w:shd w:val="clear" w:color="auto" w:fill="auto"/>
            <w:vAlign w:val="center"/>
          </w:tcPr>
          <w:p w14:paraId="2263F8FA">
            <w:pPr>
              <w:pStyle w:val="178"/>
            </w:pPr>
          </w:p>
        </w:tc>
        <w:tc>
          <w:tcPr>
            <w:tcW w:w="320" w:type="pct"/>
            <w:tcBorders>
              <w:bottom w:val="single" w:color="auto" w:sz="8" w:space="0"/>
            </w:tcBorders>
            <w:shd w:val="clear" w:color="auto" w:fill="auto"/>
            <w:vAlign w:val="center"/>
          </w:tcPr>
          <w:p w14:paraId="74557566">
            <w:pPr>
              <w:pStyle w:val="178"/>
            </w:pPr>
          </w:p>
        </w:tc>
        <w:tc>
          <w:tcPr>
            <w:tcW w:w="320" w:type="pct"/>
            <w:tcBorders>
              <w:bottom w:val="single" w:color="auto" w:sz="8" w:space="0"/>
            </w:tcBorders>
            <w:shd w:val="clear" w:color="auto" w:fill="auto"/>
            <w:vAlign w:val="center"/>
          </w:tcPr>
          <w:p w14:paraId="7DA4D114">
            <w:pPr>
              <w:pStyle w:val="178"/>
            </w:pPr>
          </w:p>
        </w:tc>
        <w:tc>
          <w:tcPr>
            <w:tcW w:w="320" w:type="pct"/>
            <w:tcBorders>
              <w:bottom w:val="single" w:color="auto" w:sz="8" w:space="0"/>
            </w:tcBorders>
            <w:shd w:val="clear" w:color="auto" w:fill="auto"/>
            <w:vAlign w:val="center"/>
          </w:tcPr>
          <w:p w14:paraId="6C5BD242">
            <w:pPr>
              <w:pStyle w:val="178"/>
            </w:pPr>
          </w:p>
        </w:tc>
        <w:tc>
          <w:tcPr>
            <w:tcW w:w="423" w:type="pct"/>
            <w:tcBorders>
              <w:bottom w:val="single" w:color="auto" w:sz="8" w:space="0"/>
            </w:tcBorders>
            <w:shd w:val="clear" w:color="auto" w:fill="auto"/>
            <w:vAlign w:val="center"/>
          </w:tcPr>
          <w:p w14:paraId="58093531">
            <w:pPr>
              <w:pStyle w:val="178"/>
            </w:pPr>
          </w:p>
        </w:tc>
        <w:tc>
          <w:tcPr>
            <w:tcW w:w="423" w:type="pct"/>
            <w:tcBorders>
              <w:bottom w:val="single" w:color="auto" w:sz="8" w:space="0"/>
            </w:tcBorders>
            <w:shd w:val="clear" w:color="auto" w:fill="auto"/>
            <w:vAlign w:val="center"/>
          </w:tcPr>
          <w:p w14:paraId="73E1BEE8">
            <w:pPr>
              <w:pStyle w:val="178"/>
            </w:pPr>
          </w:p>
        </w:tc>
        <w:tc>
          <w:tcPr>
            <w:tcW w:w="431" w:type="pct"/>
            <w:tcBorders>
              <w:bottom w:val="single" w:color="auto" w:sz="8" w:space="0"/>
            </w:tcBorders>
            <w:shd w:val="clear" w:color="auto" w:fill="auto"/>
            <w:vAlign w:val="center"/>
          </w:tcPr>
          <w:p w14:paraId="56912D56">
            <w:pPr>
              <w:pStyle w:val="178"/>
            </w:pPr>
          </w:p>
        </w:tc>
      </w:tr>
    </w:tbl>
    <w:p w14:paraId="0D0C6D0D">
      <w:pPr>
        <w:pStyle w:val="78"/>
        <w:spacing w:before="156" w:after="156"/>
        <w:rPr>
          <w:rFonts w:hint="eastAsia"/>
        </w:rPr>
      </w:pPr>
      <w:r>
        <w:rPr>
          <w:rFonts w:hint="eastAsia"/>
        </w:rPr>
        <w:t>复齿鼯鼠日常检查记录</w:t>
      </w:r>
    </w:p>
    <w:p w14:paraId="1FFE5ACF">
      <w:pPr>
        <w:pStyle w:val="56"/>
        <w:ind w:firstLine="420"/>
      </w:pPr>
      <w:r>
        <w:rPr>
          <w:rFonts w:hint="eastAsia"/>
        </w:rPr>
        <w:t>复齿鼯鼠日常检查记录见表B.2。</w:t>
      </w:r>
    </w:p>
    <w:p w14:paraId="18E7CDBB">
      <w:pPr>
        <w:pStyle w:val="77"/>
        <w:spacing w:before="156" w:after="156"/>
        <w:rPr>
          <w:rFonts w:hint="eastAsia"/>
        </w:rPr>
      </w:pPr>
      <w:r>
        <w:rPr>
          <w:rFonts w:hint="eastAsia"/>
        </w:rPr>
        <w:t>复齿鼯鼠日常检查记录表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2554E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8" w:space="0"/>
              <w:bottom w:val="single" w:color="auto" w:sz="8" w:space="0"/>
            </w:tcBorders>
            <w:shd w:val="clear" w:color="auto" w:fill="auto"/>
          </w:tcPr>
          <w:p w14:paraId="14DC5C58">
            <w:pPr>
              <w:pStyle w:val="178"/>
            </w:pPr>
            <w:r>
              <w:rPr>
                <w:rFonts w:hint="eastAsia"/>
                <w:szCs w:val="18"/>
              </w:rPr>
              <w:t>圈、笼舍号</w:t>
            </w:r>
          </w:p>
        </w:tc>
        <w:tc>
          <w:tcPr>
            <w:tcW w:w="2333" w:type="dxa"/>
            <w:tcBorders>
              <w:top w:val="single" w:color="auto" w:sz="8" w:space="0"/>
              <w:bottom w:val="single" w:color="auto" w:sz="8" w:space="0"/>
            </w:tcBorders>
            <w:shd w:val="clear" w:color="auto" w:fill="auto"/>
          </w:tcPr>
          <w:p w14:paraId="54795569">
            <w:pPr>
              <w:pStyle w:val="178"/>
            </w:pPr>
            <w:r>
              <w:rPr>
                <w:rFonts w:hint="eastAsia"/>
                <w:szCs w:val="18"/>
              </w:rPr>
              <w:t>采食情况</w:t>
            </w:r>
          </w:p>
        </w:tc>
        <w:tc>
          <w:tcPr>
            <w:tcW w:w="2333" w:type="dxa"/>
            <w:tcBorders>
              <w:top w:val="single" w:color="auto" w:sz="8" w:space="0"/>
              <w:bottom w:val="single" w:color="auto" w:sz="8" w:space="0"/>
            </w:tcBorders>
            <w:shd w:val="clear" w:color="auto" w:fill="auto"/>
          </w:tcPr>
          <w:p w14:paraId="6E829BE4">
            <w:pPr>
              <w:pStyle w:val="178"/>
            </w:pPr>
            <w:r>
              <w:rPr>
                <w:rFonts w:hint="eastAsia"/>
                <w:szCs w:val="18"/>
              </w:rPr>
              <w:t>健康状况</w:t>
            </w:r>
          </w:p>
        </w:tc>
        <w:tc>
          <w:tcPr>
            <w:tcW w:w="2334" w:type="dxa"/>
            <w:tcBorders>
              <w:top w:val="single" w:color="auto" w:sz="8" w:space="0"/>
              <w:bottom w:val="single" w:color="auto" w:sz="8" w:space="0"/>
            </w:tcBorders>
            <w:shd w:val="clear" w:color="auto" w:fill="auto"/>
          </w:tcPr>
          <w:p w14:paraId="360D09E3">
            <w:pPr>
              <w:pStyle w:val="178"/>
            </w:pPr>
            <w:r>
              <w:rPr>
                <w:rFonts w:hint="eastAsia"/>
                <w:szCs w:val="18"/>
              </w:rPr>
              <w:t>时间</w:t>
            </w:r>
          </w:p>
        </w:tc>
      </w:tr>
      <w:tr w14:paraId="311BB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8" w:space="0"/>
            </w:tcBorders>
            <w:shd w:val="clear" w:color="auto" w:fill="auto"/>
            <w:vAlign w:val="center"/>
          </w:tcPr>
          <w:p w14:paraId="15A52EE5">
            <w:pPr>
              <w:pStyle w:val="178"/>
            </w:pPr>
          </w:p>
        </w:tc>
        <w:tc>
          <w:tcPr>
            <w:tcW w:w="2333" w:type="dxa"/>
            <w:tcBorders>
              <w:top w:val="single" w:color="auto" w:sz="8" w:space="0"/>
            </w:tcBorders>
            <w:shd w:val="clear" w:color="auto" w:fill="auto"/>
            <w:vAlign w:val="center"/>
          </w:tcPr>
          <w:p w14:paraId="6281101C">
            <w:pPr>
              <w:pStyle w:val="178"/>
            </w:pPr>
          </w:p>
        </w:tc>
        <w:tc>
          <w:tcPr>
            <w:tcW w:w="2333" w:type="dxa"/>
            <w:tcBorders>
              <w:top w:val="single" w:color="auto" w:sz="8" w:space="0"/>
            </w:tcBorders>
            <w:shd w:val="clear" w:color="auto" w:fill="auto"/>
            <w:vAlign w:val="center"/>
          </w:tcPr>
          <w:p w14:paraId="0AD2195E">
            <w:pPr>
              <w:pStyle w:val="178"/>
            </w:pPr>
          </w:p>
        </w:tc>
        <w:tc>
          <w:tcPr>
            <w:tcW w:w="2334" w:type="dxa"/>
            <w:tcBorders>
              <w:top w:val="single" w:color="auto" w:sz="8" w:space="0"/>
            </w:tcBorders>
            <w:shd w:val="clear" w:color="auto" w:fill="auto"/>
            <w:vAlign w:val="center"/>
          </w:tcPr>
          <w:p w14:paraId="572BE087">
            <w:pPr>
              <w:pStyle w:val="178"/>
            </w:pPr>
          </w:p>
        </w:tc>
      </w:tr>
      <w:tr w14:paraId="0A73CC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04BA3136">
            <w:pPr>
              <w:pStyle w:val="178"/>
            </w:pPr>
          </w:p>
        </w:tc>
        <w:tc>
          <w:tcPr>
            <w:tcW w:w="2333" w:type="dxa"/>
            <w:shd w:val="clear" w:color="auto" w:fill="auto"/>
            <w:vAlign w:val="center"/>
          </w:tcPr>
          <w:p w14:paraId="1C1C09F9">
            <w:pPr>
              <w:pStyle w:val="178"/>
            </w:pPr>
          </w:p>
        </w:tc>
        <w:tc>
          <w:tcPr>
            <w:tcW w:w="2333" w:type="dxa"/>
            <w:shd w:val="clear" w:color="auto" w:fill="auto"/>
            <w:vAlign w:val="center"/>
          </w:tcPr>
          <w:p w14:paraId="70F21D34">
            <w:pPr>
              <w:pStyle w:val="178"/>
            </w:pPr>
          </w:p>
        </w:tc>
        <w:tc>
          <w:tcPr>
            <w:tcW w:w="2334" w:type="dxa"/>
            <w:shd w:val="clear" w:color="auto" w:fill="auto"/>
            <w:vAlign w:val="center"/>
          </w:tcPr>
          <w:p w14:paraId="22A4FFD3">
            <w:pPr>
              <w:pStyle w:val="178"/>
            </w:pPr>
          </w:p>
        </w:tc>
      </w:tr>
      <w:tr w14:paraId="470F0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102254C3">
            <w:pPr>
              <w:pStyle w:val="178"/>
            </w:pPr>
          </w:p>
        </w:tc>
        <w:tc>
          <w:tcPr>
            <w:tcW w:w="2333" w:type="dxa"/>
            <w:shd w:val="clear" w:color="auto" w:fill="auto"/>
            <w:vAlign w:val="center"/>
          </w:tcPr>
          <w:p w14:paraId="11FF84FE">
            <w:pPr>
              <w:pStyle w:val="178"/>
            </w:pPr>
          </w:p>
        </w:tc>
        <w:tc>
          <w:tcPr>
            <w:tcW w:w="2333" w:type="dxa"/>
            <w:shd w:val="clear" w:color="auto" w:fill="auto"/>
            <w:vAlign w:val="center"/>
          </w:tcPr>
          <w:p w14:paraId="36C6EB6A">
            <w:pPr>
              <w:pStyle w:val="178"/>
            </w:pPr>
          </w:p>
        </w:tc>
        <w:tc>
          <w:tcPr>
            <w:tcW w:w="2334" w:type="dxa"/>
            <w:shd w:val="clear" w:color="auto" w:fill="auto"/>
            <w:vAlign w:val="center"/>
          </w:tcPr>
          <w:p w14:paraId="39771AA0">
            <w:pPr>
              <w:pStyle w:val="178"/>
            </w:pPr>
          </w:p>
        </w:tc>
      </w:tr>
      <w:tr w14:paraId="558909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66316728">
            <w:pPr>
              <w:pStyle w:val="178"/>
            </w:pPr>
          </w:p>
        </w:tc>
        <w:tc>
          <w:tcPr>
            <w:tcW w:w="2333" w:type="dxa"/>
            <w:shd w:val="clear" w:color="auto" w:fill="auto"/>
            <w:vAlign w:val="center"/>
          </w:tcPr>
          <w:p w14:paraId="1ED0AB13">
            <w:pPr>
              <w:pStyle w:val="178"/>
            </w:pPr>
          </w:p>
        </w:tc>
        <w:tc>
          <w:tcPr>
            <w:tcW w:w="2333" w:type="dxa"/>
            <w:shd w:val="clear" w:color="auto" w:fill="auto"/>
            <w:vAlign w:val="center"/>
          </w:tcPr>
          <w:p w14:paraId="3149A4A3">
            <w:pPr>
              <w:pStyle w:val="178"/>
            </w:pPr>
          </w:p>
        </w:tc>
        <w:tc>
          <w:tcPr>
            <w:tcW w:w="2334" w:type="dxa"/>
            <w:shd w:val="clear" w:color="auto" w:fill="auto"/>
            <w:vAlign w:val="center"/>
          </w:tcPr>
          <w:p w14:paraId="08703E52">
            <w:pPr>
              <w:pStyle w:val="178"/>
            </w:pPr>
          </w:p>
        </w:tc>
      </w:tr>
      <w:tr w14:paraId="2A66BA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shd w:val="clear" w:color="auto" w:fill="auto"/>
            <w:vAlign w:val="center"/>
          </w:tcPr>
          <w:p w14:paraId="69F1ED3F">
            <w:pPr>
              <w:pStyle w:val="178"/>
            </w:pPr>
          </w:p>
        </w:tc>
        <w:tc>
          <w:tcPr>
            <w:tcW w:w="2333" w:type="dxa"/>
            <w:shd w:val="clear" w:color="auto" w:fill="auto"/>
            <w:vAlign w:val="center"/>
          </w:tcPr>
          <w:p w14:paraId="5A8753D8">
            <w:pPr>
              <w:pStyle w:val="178"/>
            </w:pPr>
          </w:p>
        </w:tc>
        <w:tc>
          <w:tcPr>
            <w:tcW w:w="2333" w:type="dxa"/>
            <w:shd w:val="clear" w:color="auto" w:fill="auto"/>
            <w:vAlign w:val="center"/>
          </w:tcPr>
          <w:p w14:paraId="145ECC36">
            <w:pPr>
              <w:pStyle w:val="178"/>
            </w:pPr>
          </w:p>
        </w:tc>
        <w:tc>
          <w:tcPr>
            <w:tcW w:w="2334" w:type="dxa"/>
            <w:shd w:val="clear" w:color="auto" w:fill="auto"/>
            <w:vAlign w:val="center"/>
          </w:tcPr>
          <w:p w14:paraId="146736EF">
            <w:pPr>
              <w:pStyle w:val="178"/>
            </w:pPr>
          </w:p>
        </w:tc>
      </w:tr>
    </w:tbl>
    <w:p w14:paraId="757E159D">
      <w:pPr>
        <w:pStyle w:val="56"/>
        <w:ind w:firstLine="420"/>
      </w:pPr>
    </w:p>
    <w:p w14:paraId="2FD81831">
      <w:pPr>
        <w:pStyle w:val="56"/>
        <w:ind w:firstLine="420"/>
        <w:sectPr>
          <w:pgSz w:w="11906" w:h="16838"/>
          <w:pgMar w:top="1928" w:right="1134" w:bottom="1134" w:left="1134" w:header="1418" w:footer="1134" w:gutter="284"/>
          <w:cols w:space="425" w:num="1"/>
          <w:formProt w:val="0"/>
          <w:docGrid w:type="lines" w:linePitch="312" w:charSpace="0"/>
        </w:sectPr>
      </w:pPr>
    </w:p>
    <w:p w14:paraId="333A060C">
      <w:pPr>
        <w:pStyle w:val="198"/>
        <w:rPr>
          <w:vanish w:val="0"/>
        </w:rPr>
      </w:pPr>
    </w:p>
    <w:p w14:paraId="16897841">
      <w:pPr>
        <w:pStyle w:val="199"/>
        <w:rPr>
          <w:vanish w:val="0"/>
        </w:rPr>
      </w:pPr>
    </w:p>
    <w:p w14:paraId="6EC1DAB1">
      <w:pPr>
        <w:pStyle w:val="76"/>
        <w:spacing w:after="156"/>
        <w:rPr>
          <w:rFonts w:hint="eastAsia"/>
        </w:rPr>
      </w:pPr>
      <w:r>
        <w:br w:type="textWrapping"/>
      </w:r>
      <w:r>
        <w:rPr>
          <w:rFonts w:hint="eastAsia"/>
        </w:rPr>
        <w:t>（资料性）</w:t>
      </w:r>
      <w:r>
        <w:br w:type="textWrapping"/>
      </w:r>
      <w:r>
        <w:rPr>
          <w:rFonts w:hint="eastAsia"/>
        </w:rPr>
        <w:t>消毒记录</w:t>
      </w:r>
    </w:p>
    <w:p w14:paraId="5318FB83">
      <w:pPr>
        <w:pStyle w:val="78"/>
        <w:spacing w:before="156" w:after="156"/>
        <w:rPr>
          <w:rFonts w:hint="eastAsia"/>
        </w:rPr>
      </w:pPr>
      <w:r>
        <w:rPr>
          <w:rFonts w:hint="eastAsia"/>
        </w:rPr>
        <w:t>消毒记录</w:t>
      </w:r>
    </w:p>
    <w:p w14:paraId="31F106E7">
      <w:pPr>
        <w:pStyle w:val="56"/>
        <w:ind w:firstLine="420"/>
      </w:pPr>
      <w:r>
        <w:rPr>
          <w:rFonts w:hint="eastAsia"/>
        </w:rPr>
        <w:t>圈舍消毒情况见表C.1。</w:t>
      </w:r>
    </w:p>
    <w:p w14:paraId="049B8297">
      <w:pPr>
        <w:pStyle w:val="77"/>
        <w:spacing w:before="156" w:after="156"/>
        <w:rPr>
          <w:rFonts w:hint="eastAsia"/>
        </w:rPr>
      </w:pPr>
      <w:r>
        <w:rPr>
          <w:rFonts w:hint="eastAsia"/>
        </w:rPr>
        <w:t>圈舍消毒情况记录表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2E9EE8B3">
        <w:tblPrEx>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297B7318">
            <w:pPr>
              <w:pStyle w:val="178"/>
            </w:pPr>
            <w:r>
              <w:rPr>
                <w:rFonts w:hint="eastAsia"/>
                <w:szCs w:val="18"/>
              </w:rPr>
              <w:t>圈舍号</w:t>
            </w:r>
          </w:p>
        </w:tc>
        <w:tc>
          <w:tcPr>
            <w:tcW w:w="1867" w:type="dxa"/>
            <w:tcBorders>
              <w:top w:val="single" w:color="auto" w:sz="8" w:space="0"/>
              <w:bottom w:val="single" w:color="auto" w:sz="8" w:space="0"/>
            </w:tcBorders>
            <w:shd w:val="clear" w:color="auto" w:fill="auto"/>
          </w:tcPr>
          <w:p w14:paraId="0EFA3447">
            <w:pPr>
              <w:pStyle w:val="178"/>
            </w:pPr>
            <w:r>
              <w:rPr>
                <w:rFonts w:hint="eastAsia"/>
                <w:szCs w:val="18"/>
              </w:rPr>
              <w:t>消毒剂名称</w:t>
            </w:r>
          </w:p>
        </w:tc>
        <w:tc>
          <w:tcPr>
            <w:tcW w:w="1867" w:type="dxa"/>
            <w:tcBorders>
              <w:top w:val="single" w:color="auto" w:sz="8" w:space="0"/>
              <w:bottom w:val="single" w:color="auto" w:sz="8" w:space="0"/>
            </w:tcBorders>
            <w:shd w:val="clear" w:color="auto" w:fill="auto"/>
          </w:tcPr>
          <w:p w14:paraId="78F03348">
            <w:pPr>
              <w:pStyle w:val="178"/>
            </w:pPr>
            <w:r>
              <w:rPr>
                <w:rFonts w:hint="eastAsia"/>
                <w:szCs w:val="18"/>
              </w:rPr>
              <w:t>消毒方法</w:t>
            </w:r>
          </w:p>
        </w:tc>
        <w:tc>
          <w:tcPr>
            <w:tcW w:w="1867" w:type="dxa"/>
            <w:tcBorders>
              <w:top w:val="single" w:color="auto" w:sz="8" w:space="0"/>
              <w:bottom w:val="single" w:color="auto" w:sz="8" w:space="0"/>
            </w:tcBorders>
            <w:shd w:val="clear" w:color="auto" w:fill="auto"/>
          </w:tcPr>
          <w:p w14:paraId="0C7A3381">
            <w:pPr>
              <w:pStyle w:val="178"/>
            </w:pPr>
            <w:r>
              <w:rPr>
                <w:rFonts w:hint="eastAsia"/>
                <w:szCs w:val="18"/>
              </w:rPr>
              <w:t>消毒时间</w:t>
            </w:r>
          </w:p>
        </w:tc>
        <w:tc>
          <w:tcPr>
            <w:tcW w:w="1867" w:type="dxa"/>
            <w:tcBorders>
              <w:top w:val="single" w:color="auto" w:sz="8" w:space="0"/>
              <w:bottom w:val="single" w:color="auto" w:sz="8" w:space="0"/>
            </w:tcBorders>
            <w:shd w:val="clear" w:color="auto" w:fill="auto"/>
          </w:tcPr>
          <w:p w14:paraId="7E8253E2">
            <w:pPr>
              <w:pStyle w:val="178"/>
            </w:pPr>
            <w:r>
              <w:rPr>
                <w:rFonts w:hint="eastAsia"/>
                <w:szCs w:val="18"/>
              </w:rPr>
              <w:t>消毒人员</w:t>
            </w:r>
          </w:p>
        </w:tc>
      </w:tr>
      <w:tr w14:paraId="5C11E8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01298F0F">
            <w:pPr>
              <w:pStyle w:val="178"/>
            </w:pPr>
          </w:p>
        </w:tc>
        <w:tc>
          <w:tcPr>
            <w:tcW w:w="1867" w:type="dxa"/>
            <w:tcBorders>
              <w:top w:val="single" w:color="auto" w:sz="8" w:space="0"/>
            </w:tcBorders>
            <w:shd w:val="clear" w:color="auto" w:fill="auto"/>
            <w:vAlign w:val="center"/>
          </w:tcPr>
          <w:p w14:paraId="52EA4FAF">
            <w:pPr>
              <w:pStyle w:val="178"/>
            </w:pPr>
          </w:p>
        </w:tc>
        <w:tc>
          <w:tcPr>
            <w:tcW w:w="1867" w:type="dxa"/>
            <w:tcBorders>
              <w:top w:val="single" w:color="auto" w:sz="8" w:space="0"/>
            </w:tcBorders>
            <w:shd w:val="clear" w:color="auto" w:fill="auto"/>
            <w:vAlign w:val="center"/>
          </w:tcPr>
          <w:p w14:paraId="28F39C3E">
            <w:pPr>
              <w:pStyle w:val="178"/>
            </w:pPr>
          </w:p>
        </w:tc>
        <w:tc>
          <w:tcPr>
            <w:tcW w:w="1867" w:type="dxa"/>
            <w:tcBorders>
              <w:top w:val="single" w:color="auto" w:sz="8" w:space="0"/>
            </w:tcBorders>
            <w:shd w:val="clear" w:color="auto" w:fill="auto"/>
            <w:vAlign w:val="center"/>
          </w:tcPr>
          <w:p w14:paraId="06157E06">
            <w:pPr>
              <w:pStyle w:val="178"/>
            </w:pPr>
          </w:p>
        </w:tc>
        <w:tc>
          <w:tcPr>
            <w:tcW w:w="1867" w:type="dxa"/>
            <w:tcBorders>
              <w:top w:val="single" w:color="auto" w:sz="8" w:space="0"/>
            </w:tcBorders>
            <w:shd w:val="clear" w:color="auto" w:fill="auto"/>
            <w:vAlign w:val="center"/>
          </w:tcPr>
          <w:p w14:paraId="378B1C6B">
            <w:pPr>
              <w:pStyle w:val="178"/>
            </w:pPr>
          </w:p>
        </w:tc>
      </w:tr>
      <w:tr w14:paraId="08EE11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44A57D0F">
            <w:pPr>
              <w:pStyle w:val="178"/>
            </w:pPr>
          </w:p>
        </w:tc>
        <w:tc>
          <w:tcPr>
            <w:tcW w:w="1867" w:type="dxa"/>
            <w:shd w:val="clear" w:color="auto" w:fill="auto"/>
            <w:vAlign w:val="center"/>
          </w:tcPr>
          <w:p w14:paraId="5E3DA251">
            <w:pPr>
              <w:pStyle w:val="178"/>
            </w:pPr>
          </w:p>
        </w:tc>
        <w:tc>
          <w:tcPr>
            <w:tcW w:w="1867" w:type="dxa"/>
            <w:shd w:val="clear" w:color="auto" w:fill="auto"/>
            <w:vAlign w:val="center"/>
          </w:tcPr>
          <w:p w14:paraId="56213C6F">
            <w:pPr>
              <w:pStyle w:val="178"/>
            </w:pPr>
          </w:p>
        </w:tc>
        <w:tc>
          <w:tcPr>
            <w:tcW w:w="1867" w:type="dxa"/>
            <w:shd w:val="clear" w:color="auto" w:fill="auto"/>
            <w:vAlign w:val="center"/>
          </w:tcPr>
          <w:p w14:paraId="5C67A835">
            <w:pPr>
              <w:pStyle w:val="178"/>
            </w:pPr>
          </w:p>
        </w:tc>
        <w:tc>
          <w:tcPr>
            <w:tcW w:w="1867" w:type="dxa"/>
            <w:shd w:val="clear" w:color="auto" w:fill="auto"/>
            <w:vAlign w:val="center"/>
          </w:tcPr>
          <w:p w14:paraId="51157509">
            <w:pPr>
              <w:pStyle w:val="178"/>
            </w:pPr>
          </w:p>
        </w:tc>
      </w:tr>
      <w:tr w14:paraId="7E06AD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7FFB87A3">
            <w:pPr>
              <w:pStyle w:val="178"/>
            </w:pPr>
          </w:p>
        </w:tc>
        <w:tc>
          <w:tcPr>
            <w:tcW w:w="1867" w:type="dxa"/>
            <w:shd w:val="clear" w:color="auto" w:fill="auto"/>
            <w:vAlign w:val="center"/>
          </w:tcPr>
          <w:p w14:paraId="770850AF">
            <w:pPr>
              <w:pStyle w:val="178"/>
            </w:pPr>
          </w:p>
        </w:tc>
        <w:tc>
          <w:tcPr>
            <w:tcW w:w="1867" w:type="dxa"/>
            <w:shd w:val="clear" w:color="auto" w:fill="auto"/>
            <w:vAlign w:val="center"/>
          </w:tcPr>
          <w:p w14:paraId="120386E5">
            <w:pPr>
              <w:pStyle w:val="178"/>
            </w:pPr>
          </w:p>
        </w:tc>
        <w:tc>
          <w:tcPr>
            <w:tcW w:w="1867" w:type="dxa"/>
            <w:shd w:val="clear" w:color="auto" w:fill="auto"/>
            <w:vAlign w:val="center"/>
          </w:tcPr>
          <w:p w14:paraId="2348968D">
            <w:pPr>
              <w:pStyle w:val="178"/>
            </w:pPr>
          </w:p>
        </w:tc>
        <w:tc>
          <w:tcPr>
            <w:tcW w:w="1867" w:type="dxa"/>
            <w:shd w:val="clear" w:color="auto" w:fill="auto"/>
            <w:vAlign w:val="center"/>
          </w:tcPr>
          <w:p w14:paraId="0C394602">
            <w:pPr>
              <w:pStyle w:val="178"/>
            </w:pPr>
          </w:p>
        </w:tc>
      </w:tr>
      <w:tr w14:paraId="42A6D2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6B0DA0FD">
            <w:pPr>
              <w:pStyle w:val="178"/>
            </w:pPr>
          </w:p>
        </w:tc>
        <w:tc>
          <w:tcPr>
            <w:tcW w:w="1867" w:type="dxa"/>
            <w:shd w:val="clear" w:color="auto" w:fill="auto"/>
            <w:vAlign w:val="center"/>
          </w:tcPr>
          <w:p w14:paraId="1507EAFF">
            <w:pPr>
              <w:pStyle w:val="178"/>
            </w:pPr>
          </w:p>
        </w:tc>
        <w:tc>
          <w:tcPr>
            <w:tcW w:w="1867" w:type="dxa"/>
            <w:shd w:val="clear" w:color="auto" w:fill="auto"/>
            <w:vAlign w:val="center"/>
          </w:tcPr>
          <w:p w14:paraId="4A2FF209">
            <w:pPr>
              <w:pStyle w:val="178"/>
            </w:pPr>
          </w:p>
        </w:tc>
        <w:tc>
          <w:tcPr>
            <w:tcW w:w="1867" w:type="dxa"/>
            <w:shd w:val="clear" w:color="auto" w:fill="auto"/>
            <w:vAlign w:val="center"/>
          </w:tcPr>
          <w:p w14:paraId="065C40DC">
            <w:pPr>
              <w:pStyle w:val="178"/>
            </w:pPr>
          </w:p>
        </w:tc>
        <w:tc>
          <w:tcPr>
            <w:tcW w:w="1867" w:type="dxa"/>
            <w:shd w:val="clear" w:color="auto" w:fill="auto"/>
            <w:vAlign w:val="center"/>
          </w:tcPr>
          <w:p w14:paraId="7DB9F2BF">
            <w:pPr>
              <w:pStyle w:val="178"/>
            </w:pPr>
          </w:p>
        </w:tc>
      </w:tr>
      <w:tr w14:paraId="77FD3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3714D274">
            <w:pPr>
              <w:pStyle w:val="178"/>
            </w:pPr>
          </w:p>
        </w:tc>
        <w:tc>
          <w:tcPr>
            <w:tcW w:w="1867" w:type="dxa"/>
            <w:shd w:val="clear" w:color="auto" w:fill="auto"/>
            <w:vAlign w:val="center"/>
          </w:tcPr>
          <w:p w14:paraId="313D98DB">
            <w:pPr>
              <w:pStyle w:val="178"/>
            </w:pPr>
          </w:p>
        </w:tc>
        <w:tc>
          <w:tcPr>
            <w:tcW w:w="1867" w:type="dxa"/>
            <w:shd w:val="clear" w:color="auto" w:fill="auto"/>
            <w:vAlign w:val="center"/>
          </w:tcPr>
          <w:p w14:paraId="21BD2811">
            <w:pPr>
              <w:pStyle w:val="178"/>
            </w:pPr>
          </w:p>
        </w:tc>
        <w:tc>
          <w:tcPr>
            <w:tcW w:w="1867" w:type="dxa"/>
            <w:shd w:val="clear" w:color="auto" w:fill="auto"/>
            <w:vAlign w:val="center"/>
          </w:tcPr>
          <w:p w14:paraId="24C09289">
            <w:pPr>
              <w:pStyle w:val="178"/>
            </w:pPr>
          </w:p>
        </w:tc>
        <w:tc>
          <w:tcPr>
            <w:tcW w:w="1867" w:type="dxa"/>
            <w:shd w:val="clear" w:color="auto" w:fill="auto"/>
            <w:vAlign w:val="center"/>
          </w:tcPr>
          <w:p w14:paraId="37C5077A">
            <w:pPr>
              <w:pStyle w:val="178"/>
            </w:pPr>
          </w:p>
        </w:tc>
      </w:tr>
    </w:tbl>
    <w:p w14:paraId="186A3192">
      <w:pPr>
        <w:pStyle w:val="56"/>
        <w:ind w:firstLine="420"/>
      </w:pPr>
    </w:p>
    <w:p w14:paraId="109BCC8F">
      <w:pPr>
        <w:pStyle w:val="56"/>
        <w:ind w:firstLine="420"/>
      </w:pPr>
    </w:p>
    <w:p w14:paraId="123AB7C5">
      <w:pPr>
        <w:pStyle w:val="56"/>
        <w:ind w:firstLine="420"/>
      </w:pPr>
    </w:p>
    <w:p w14:paraId="74A3CC37">
      <w:pPr>
        <w:pStyle w:val="56"/>
        <w:ind w:firstLine="420"/>
      </w:pPr>
    </w:p>
    <w:p w14:paraId="4D49887F">
      <w:pPr>
        <w:pStyle w:val="56"/>
        <w:ind w:firstLine="420"/>
        <w:sectPr>
          <w:pgSz w:w="11906" w:h="16838"/>
          <w:pgMar w:top="1928" w:right="1134" w:bottom="1134" w:left="1134" w:header="1418" w:footer="1134" w:gutter="284"/>
          <w:cols w:space="425" w:num="1"/>
          <w:formProt w:val="0"/>
          <w:docGrid w:type="lines" w:linePitch="312" w:charSpace="0"/>
        </w:sectPr>
      </w:pPr>
    </w:p>
    <w:p w14:paraId="05E770B1">
      <w:pPr>
        <w:pStyle w:val="198"/>
        <w:rPr>
          <w:vanish w:val="0"/>
        </w:rPr>
      </w:pPr>
    </w:p>
    <w:p w14:paraId="3216AE66">
      <w:pPr>
        <w:pStyle w:val="199"/>
        <w:rPr>
          <w:vanish w:val="0"/>
        </w:rPr>
      </w:pPr>
    </w:p>
    <w:p w14:paraId="07D69355">
      <w:pPr>
        <w:pStyle w:val="76"/>
        <w:spacing w:after="156"/>
        <w:rPr>
          <w:rFonts w:hint="eastAsia"/>
        </w:rPr>
      </w:pPr>
      <w:r>
        <w:br w:type="textWrapping"/>
      </w:r>
      <w:r>
        <w:rPr>
          <w:rFonts w:hint="eastAsia"/>
        </w:rPr>
        <w:t>（资料性）</w:t>
      </w:r>
      <w:r>
        <w:br w:type="textWrapping"/>
      </w:r>
      <w:r>
        <w:rPr>
          <w:rFonts w:hint="eastAsia"/>
        </w:rPr>
        <w:t>疫病及诊断救治和用药记录</w:t>
      </w:r>
    </w:p>
    <w:p w14:paraId="2D78DA19">
      <w:pPr>
        <w:pStyle w:val="78"/>
        <w:spacing w:before="156" w:after="156"/>
        <w:rPr>
          <w:rFonts w:hint="eastAsia"/>
        </w:rPr>
      </w:pPr>
      <w:r>
        <w:rPr>
          <w:rFonts w:hint="eastAsia"/>
        </w:rPr>
        <w:t>疫病及诊断救治和用药记录</w:t>
      </w:r>
    </w:p>
    <w:p w14:paraId="2D8864D2">
      <w:pPr>
        <w:pStyle w:val="56"/>
        <w:ind w:firstLine="420"/>
      </w:pPr>
      <w:r>
        <w:rPr>
          <w:rFonts w:hint="eastAsia"/>
        </w:rPr>
        <w:t>疫病及诊断救治和用药信息见表D.1。</w:t>
      </w:r>
    </w:p>
    <w:p w14:paraId="783853ED">
      <w:pPr>
        <w:pStyle w:val="77"/>
        <w:spacing w:before="156" w:after="156"/>
      </w:pPr>
      <w:r>
        <w:rPr>
          <w:rFonts w:hint="eastAsia"/>
        </w:rPr>
        <w:t>疫病及诊断救治和用药信息记录表</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005"/>
        <w:gridCol w:w="999"/>
        <w:gridCol w:w="506"/>
        <w:gridCol w:w="999"/>
        <w:gridCol w:w="999"/>
        <w:gridCol w:w="999"/>
        <w:gridCol w:w="1245"/>
        <w:gridCol w:w="1614"/>
        <w:gridCol w:w="1008"/>
      </w:tblGrid>
      <w:tr w14:paraId="3CCCAC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536" w:type="pct"/>
            <w:tcBorders>
              <w:top w:val="single" w:color="auto" w:sz="8" w:space="0"/>
              <w:bottom w:val="single" w:color="auto" w:sz="8" w:space="0"/>
            </w:tcBorders>
            <w:shd w:val="clear" w:color="auto" w:fill="auto"/>
          </w:tcPr>
          <w:p w14:paraId="7762736A">
            <w:pPr>
              <w:pStyle w:val="178"/>
            </w:pPr>
            <w:r>
              <w:rPr>
                <w:rFonts w:hint="eastAsia"/>
              </w:rPr>
              <w:t>圈、舍号</w:t>
            </w:r>
          </w:p>
        </w:tc>
        <w:tc>
          <w:tcPr>
            <w:tcW w:w="533" w:type="pct"/>
            <w:tcBorders>
              <w:top w:val="single" w:color="auto" w:sz="8" w:space="0"/>
              <w:bottom w:val="single" w:color="auto" w:sz="8" w:space="0"/>
            </w:tcBorders>
            <w:shd w:val="clear" w:color="auto" w:fill="auto"/>
          </w:tcPr>
          <w:p w14:paraId="1F9D0067">
            <w:pPr>
              <w:pStyle w:val="178"/>
            </w:pPr>
            <w:r>
              <w:rPr>
                <w:rFonts w:hint="eastAsia"/>
              </w:rPr>
              <w:t>发病时间</w:t>
            </w:r>
          </w:p>
        </w:tc>
        <w:tc>
          <w:tcPr>
            <w:tcW w:w="270" w:type="pct"/>
            <w:tcBorders>
              <w:top w:val="single" w:color="auto" w:sz="8" w:space="0"/>
              <w:bottom w:val="single" w:color="auto" w:sz="8" w:space="0"/>
            </w:tcBorders>
            <w:shd w:val="clear" w:color="auto" w:fill="auto"/>
          </w:tcPr>
          <w:p w14:paraId="33B0ADF1">
            <w:pPr>
              <w:pStyle w:val="178"/>
            </w:pPr>
            <w:r>
              <w:rPr>
                <w:rFonts w:hint="eastAsia"/>
              </w:rPr>
              <w:t>症状</w:t>
            </w:r>
          </w:p>
        </w:tc>
        <w:tc>
          <w:tcPr>
            <w:tcW w:w="533" w:type="pct"/>
            <w:tcBorders>
              <w:top w:val="single" w:color="auto" w:sz="8" w:space="0"/>
              <w:bottom w:val="single" w:color="auto" w:sz="8" w:space="0"/>
            </w:tcBorders>
            <w:shd w:val="clear" w:color="auto" w:fill="auto"/>
          </w:tcPr>
          <w:p w14:paraId="0330A5D2">
            <w:pPr>
              <w:pStyle w:val="178"/>
            </w:pPr>
            <w:r>
              <w:rPr>
                <w:rFonts w:hint="eastAsia"/>
              </w:rPr>
              <w:t>诊断结果</w:t>
            </w:r>
          </w:p>
        </w:tc>
        <w:tc>
          <w:tcPr>
            <w:tcW w:w="533" w:type="pct"/>
            <w:tcBorders>
              <w:top w:val="single" w:color="auto" w:sz="8" w:space="0"/>
              <w:bottom w:val="single" w:color="auto" w:sz="8" w:space="0"/>
            </w:tcBorders>
            <w:shd w:val="clear" w:color="auto" w:fill="auto"/>
          </w:tcPr>
          <w:p w14:paraId="64639E04">
            <w:pPr>
              <w:pStyle w:val="178"/>
            </w:pPr>
            <w:r>
              <w:rPr>
                <w:rFonts w:hint="eastAsia"/>
              </w:rPr>
              <w:t>是否隔离</w:t>
            </w:r>
          </w:p>
        </w:tc>
        <w:tc>
          <w:tcPr>
            <w:tcW w:w="533" w:type="pct"/>
            <w:tcBorders>
              <w:top w:val="single" w:color="auto" w:sz="8" w:space="0"/>
              <w:bottom w:val="single" w:color="auto" w:sz="8" w:space="0"/>
            </w:tcBorders>
            <w:shd w:val="clear" w:color="auto" w:fill="auto"/>
          </w:tcPr>
          <w:p w14:paraId="033E1F26">
            <w:pPr>
              <w:pStyle w:val="178"/>
            </w:pPr>
            <w:r>
              <w:rPr>
                <w:rFonts w:hint="eastAsia"/>
              </w:rPr>
              <w:t>用药情况</w:t>
            </w:r>
          </w:p>
        </w:tc>
        <w:tc>
          <w:tcPr>
            <w:tcW w:w="664" w:type="pct"/>
            <w:tcBorders>
              <w:top w:val="single" w:color="auto" w:sz="8" w:space="0"/>
              <w:bottom w:val="single" w:color="auto" w:sz="8" w:space="0"/>
            </w:tcBorders>
            <w:shd w:val="clear" w:color="auto" w:fill="auto"/>
          </w:tcPr>
          <w:p w14:paraId="1EAB0618">
            <w:pPr>
              <w:pStyle w:val="178"/>
            </w:pPr>
            <w:r>
              <w:rPr>
                <w:rFonts w:hint="eastAsia"/>
              </w:rPr>
              <w:t>用药人姓名</w:t>
            </w:r>
          </w:p>
        </w:tc>
        <w:tc>
          <w:tcPr>
            <w:tcW w:w="861" w:type="pct"/>
            <w:tcBorders>
              <w:top w:val="single" w:color="auto" w:sz="8" w:space="0"/>
              <w:bottom w:val="single" w:color="auto" w:sz="8" w:space="0"/>
            </w:tcBorders>
            <w:shd w:val="clear" w:color="auto" w:fill="auto"/>
          </w:tcPr>
          <w:p w14:paraId="64C7A16D">
            <w:pPr>
              <w:pStyle w:val="178"/>
            </w:pPr>
            <w:r>
              <w:rPr>
                <w:rFonts w:hint="eastAsia"/>
              </w:rPr>
              <w:t>治愈/死亡时间</w:t>
            </w:r>
          </w:p>
        </w:tc>
        <w:tc>
          <w:tcPr>
            <w:tcW w:w="536" w:type="pct"/>
            <w:tcBorders>
              <w:top w:val="single" w:color="auto" w:sz="8" w:space="0"/>
              <w:bottom w:val="single" w:color="auto" w:sz="8" w:space="0"/>
            </w:tcBorders>
            <w:shd w:val="clear" w:color="auto" w:fill="auto"/>
          </w:tcPr>
          <w:p w14:paraId="0C334B67">
            <w:pPr>
              <w:pStyle w:val="178"/>
            </w:pPr>
            <w:r>
              <w:rPr>
                <w:rFonts w:hint="eastAsia"/>
              </w:rPr>
              <w:t>兽医姓名</w:t>
            </w:r>
          </w:p>
        </w:tc>
      </w:tr>
      <w:tr w14:paraId="1E4382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36" w:type="pct"/>
            <w:tcBorders>
              <w:top w:val="single" w:color="auto" w:sz="8" w:space="0"/>
            </w:tcBorders>
            <w:shd w:val="clear" w:color="auto" w:fill="auto"/>
            <w:vAlign w:val="center"/>
          </w:tcPr>
          <w:p w14:paraId="6BF27487">
            <w:pPr>
              <w:pStyle w:val="178"/>
            </w:pPr>
          </w:p>
        </w:tc>
        <w:tc>
          <w:tcPr>
            <w:tcW w:w="533" w:type="pct"/>
            <w:tcBorders>
              <w:top w:val="single" w:color="auto" w:sz="8" w:space="0"/>
            </w:tcBorders>
            <w:shd w:val="clear" w:color="auto" w:fill="auto"/>
            <w:vAlign w:val="center"/>
          </w:tcPr>
          <w:p w14:paraId="771DD978">
            <w:pPr>
              <w:pStyle w:val="178"/>
            </w:pPr>
          </w:p>
        </w:tc>
        <w:tc>
          <w:tcPr>
            <w:tcW w:w="270" w:type="pct"/>
            <w:tcBorders>
              <w:top w:val="single" w:color="auto" w:sz="8" w:space="0"/>
            </w:tcBorders>
            <w:shd w:val="clear" w:color="auto" w:fill="auto"/>
            <w:vAlign w:val="center"/>
          </w:tcPr>
          <w:p w14:paraId="64C4B1E7">
            <w:pPr>
              <w:pStyle w:val="178"/>
            </w:pPr>
          </w:p>
        </w:tc>
        <w:tc>
          <w:tcPr>
            <w:tcW w:w="533" w:type="pct"/>
            <w:tcBorders>
              <w:top w:val="single" w:color="auto" w:sz="8" w:space="0"/>
            </w:tcBorders>
            <w:shd w:val="clear" w:color="auto" w:fill="auto"/>
            <w:vAlign w:val="center"/>
          </w:tcPr>
          <w:p w14:paraId="7415308A">
            <w:pPr>
              <w:pStyle w:val="178"/>
            </w:pPr>
          </w:p>
        </w:tc>
        <w:tc>
          <w:tcPr>
            <w:tcW w:w="533" w:type="pct"/>
            <w:tcBorders>
              <w:top w:val="single" w:color="auto" w:sz="8" w:space="0"/>
            </w:tcBorders>
            <w:shd w:val="clear" w:color="auto" w:fill="auto"/>
            <w:vAlign w:val="center"/>
          </w:tcPr>
          <w:p w14:paraId="3383F8A2">
            <w:pPr>
              <w:pStyle w:val="178"/>
            </w:pPr>
          </w:p>
        </w:tc>
        <w:tc>
          <w:tcPr>
            <w:tcW w:w="533" w:type="pct"/>
            <w:tcBorders>
              <w:top w:val="single" w:color="auto" w:sz="8" w:space="0"/>
            </w:tcBorders>
            <w:shd w:val="clear" w:color="auto" w:fill="auto"/>
            <w:vAlign w:val="center"/>
          </w:tcPr>
          <w:p w14:paraId="780A4C4E">
            <w:pPr>
              <w:pStyle w:val="178"/>
            </w:pPr>
          </w:p>
        </w:tc>
        <w:tc>
          <w:tcPr>
            <w:tcW w:w="664" w:type="pct"/>
            <w:tcBorders>
              <w:top w:val="single" w:color="auto" w:sz="8" w:space="0"/>
            </w:tcBorders>
            <w:shd w:val="clear" w:color="auto" w:fill="auto"/>
            <w:vAlign w:val="center"/>
          </w:tcPr>
          <w:p w14:paraId="57E7A931">
            <w:pPr>
              <w:pStyle w:val="178"/>
            </w:pPr>
          </w:p>
        </w:tc>
        <w:tc>
          <w:tcPr>
            <w:tcW w:w="861" w:type="pct"/>
            <w:tcBorders>
              <w:top w:val="single" w:color="auto" w:sz="8" w:space="0"/>
            </w:tcBorders>
            <w:shd w:val="clear" w:color="auto" w:fill="auto"/>
            <w:vAlign w:val="center"/>
          </w:tcPr>
          <w:p w14:paraId="33D92DD9">
            <w:pPr>
              <w:pStyle w:val="178"/>
            </w:pPr>
          </w:p>
        </w:tc>
        <w:tc>
          <w:tcPr>
            <w:tcW w:w="536" w:type="pct"/>
            <w:tcBorders>
              <w:top w:val="single" w:color="auto" w:sz="8" w:space="0"/>
            </w:tcBorders>
            <w:shd w:val="clear" w:color="auto" w:fill="auto"/>
            <w:vAlign w:val="center"/>
          </w:tcPr>
          <w:p w14:paraId="6C2B3ABB">
            <w:pPr>
              <w:pStyle w:val="178"/>
            </w:pPr>
          </w:p>
        </w:tc>
      </w:tr>
      <w:tr w14:paraId="412EF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36" w:type="pct"/>
            <w:shd w:val="clear" w:color="auto" w:fill="auto"/>
            <w:vAlign w:val="center"/>
          </w:tcPr>
          <w:p w14:paraId="75DF76D1">
            <w:pPr>
              <w:pStyle w:val="178"/>
            </w:pPr>
          </w:p>
        </w:tc>
        <w:tc>
          <w:tcPr>
            <w:tcW w:w="533" w:type="pct"/>
            <w:shd w:val="clear" w:color="auto" w:fill="auto"/>
            <w:vAlign w:val="center"/>
          </w:tcPr>
          <w:p w14:paraId="6CBD738B">
            <w:pPr>
              <w:pStyle w:val="178"/>
            </w:pPr>
          </w:p>
        </w:tc>
        <w:tc>
          <w:tcPr>
            <w:tcW w:w="270" w:type="pct"/>
            <w:shd w:val="clear" w:color="auto" w:fill="auto"/>
            <w:vAlign w:val="center"/>
          </w:tcPr>
          <w:p w14:paraId="27EA29B9">
            <w:pPr>
              <w:pStyle w:val="178"/>
            </w:pPr>
          </w:p>
        </w:tc>
        <w:tc>
          <w:tcPr>
            <w:tcW w:w="533" w:type="pct"/>
            <w:shd w:val="clear" w:color="auto" w:fill="auto"/>
            <w:vAlign w:val="center"/>
          </w:tcPr>
          <w:p w14:paraId="2A06371E">
            <w:pPr>
              <w:pStyle w:val="178"/>
            </w:pPr>
          </w:p>
        </w:tc>
        <w:tc>
          <w:tcPr>
            <w:tcW w:w="533" w:type="pct"/>
            <w:shd w:val="clear" w:color="auto" w:fill="auto"/>
            <w:vAlign w:val="center"/>
          </w:tcPr>
          <w:p w14:paraId="3FCD2593">
            <w:pPr>
              <w:pStyle w:val="178"/>
            </w:pPr>
          </w:p>
        </w:tc>
        <w:tc>
          <w:tcPr>
            <w:tcW w:w="533" w:type="pct"/>
            <w:shd w:val="clear" w:color="auto" w:fill="auto"/>
            <w:vAlign w:val="center"/>
          </w:tcPr>
          <w:p w14:paraId="7462BD25">
            <w:pPr>
              <w:pStyle w:val="178"/>
            </w:pPr>
          </w:p>
        </w:tc>
        <w:tc>
          <w:tcPr>
            <w:tcW w:w="664" w:type="pct"/>
            <w:shd w:val="clear" w:color="auto" w:fill="auto"/>
            <w:vAlign w:val="center"/>
          </w:tcPr>
          <w:p w14:paraId="2817EF2D">
            <w:pPr>
              <w:pStyle w:val="178"/>
            </w:pPr>
          </w:p>
        </w:tc>
        <w:tc>
          <w:tcPr>
            <w:tcW w:w="861" w:type="pct"/>
            <w:shd w:val="clear" w:color="auto" w:fill="auto"/>
            <w:vAlign w:val="center"/>
          </w:tcPr>
          <w:p w14:paraId="34210CCF">
            <w:pPr>
              <w:pStyle w:val="178"/>
            </w:pPr>
          </w:p>
        </w:tc>
        <w:tc>
          <w:tcPr>
            <w:tcW w:w="536" w:type="pct"/>
            <w:shd w:val="clear" w:color="auto" w:fill="auto"/>
            <w:vAlign w:val="center"/>
          </w:tcPr>
          <w:p w14:paraId="2D1DF514">
            <w:pPr>
              <w:pStyle w:val="178"/>
            </w:pPr>
          </w:p>
        </w:tc>
      </w:tr>
      <w:tr w14:paraId="32622F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36" w:type="pct"/>
            <w:shd w:val="clear" w:color="auto" w:fill="auto"/>
            <w:vAlign w:val="center"/>
          </w:tcPr>
          <w:p w14:paraId="413E666C">
            <w:pPr>
              <w:pStyle w:val="178"/>
            </w:pPr>
          </w:p>
        </w:tc>
        <w:tc>
          <w:tcPr>
            <w:tcW w:w="533" w:type="pct"/>
            <w:shd w:val="clear" w:color="auto" w:fill="auto"/>
            <w:vAlign w:val="center"/>
          </w:tcPr>
          <w:p w14:paraId="449A1DC0">
            <w:pPr>
              <w:pStyle w:val="178"/>
            </w:pPr>
          </w:p>
        </w:tc>
        <w:tc>
          <w:tcPr>
            <w:tcW w:w="270" w:type="pct"/>
            <w:shd w:val="clear" w:color="auto" w:fill="auto"/>
            <w:vAlign w:val="center"/>
          </w:tcPr>
          <w:p w14:paraId="431C5F04">
            <w:pPr>
              <w:pStyle w:val="178"/>
            </w:pPr>
          </w:p>
        </w:tc>
        <w:tc>
          <w:tcPr>
            <w:tcW w:w="533" w:type="pct"/>
            <w:shd w:val="clear" w:color="auto" w:fill="auto"/>
            <w:vAlign w:val="center"/>
          </w:tcPr>
          <w:p w14:paraId="765A5A98">
            <w:pPr>
              <w:pStyle w:val="178"/>
            </w:pPr>
          </w:p>
        </w:tc>
        <w:tc>
          <w:tcPr>
            <w:tcW w:w="533" w:type="pct"/>
            <w:shd w:val="clear" w:color="auto" w:fill="auto"/>
            <w:vAlign w:val="center"/>
          </w:tcPr>
          <w:p w14:paraId="0C200465">
            <w:pPr>
              <w:pStyle w:val="178"/>
            </w:pPr>
          </w:p>
        </w:tc>
        <w:tc>
          <w:tcPr>
            <w:tcW w:w="533" w:type="pct"/>
            <w:shd w:val="clear" w:color="auto" w:fill="auto"/>
            <w:vAlign w:val="center"/>
          </w:tcPr>
          <w:p w14:paraId="006608E0">
            <w:pPr>
              <w:pStyle w:val="178"/>
            </w:pPr>
          </w:p>
        </w:tc>
        <w:tc>
          <w:tcPr>
            <w:tcW w:w="664" w:type="pct"/>
            <w:shd w:val="clear" w:color="auto" w:fill="auto"/>
            <w:vAlign w:val="center"/>
          </w:tcPr>
          <w:p w14:paraId="3FB01A7F">
            <w:pPr>
              <w:pStyle w:val="178"/>
            </w:pPr>
          </w:p>
        </w:tc>
        <w:tc>
          <w:tcPr>
            <w:tcW w:w="861" w:type="pct"/>
            <w:shd w:val="clear" w:color="auto" w:fill="auto"/>
            <w:vAlign w:val="center"/>
          </w:tcPr>
          <w:p w14:paraId="1798D101">
            <w:pPr>
              <w:pStyle w:val="178"/>
            </w:pPr>
          </w:p>
        </w:tc>
        <w:tc>
          <w:tcPr>
            <w:tcW w:w="536" w:type="pct"/>
            <w:shd w:val="clear" w:color="auto" w:fill="auto"/>
            <w:vAlign w:val="center"/>
          </w:tcPr>
          <w:p w14:paraId="64AA46BD">
            <w:pPr>
              <w:pStyle w:val="178"/>
            </w:pPr>
          </w:p>
        </w:tc>
      </w:tr>
      <w:tr w14:paraId="00EDE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36" w:type="pct"/>
            <w:shd w:val="clear" w:color="auto" w:fill="auto"/>
            <w:vAlign w:val="center"/>
          </w:tcPr>
          <w:p w14:paraId="5EAC8A40">
            <w:pPr>
              <w:pStyle w:val="178"/>
            </w:pPr>
          </w:p>
        </w:tc>
        <w:tc>
          <w:tcPr>
            <w:tcW w:w="533" w:type="pct"/>
            <w:shd w:val="clear" w:color="auto" w:fill="auto"/>
            <w:vAlign w:val="center"/>
          </w:tcPr>
          <w:p w14:paraId="1367167F">
            <w:pPr>
              <w:pStyle w:val="178"/>
            </w:pPr>
          </w:p>
        </w:tc>
        <w:tc>
          <w:tcPr>
            <w:tcW w:w="270" w:type="pct"/>
            <w:shd w:val="clear" w:color="auto" w:fill="auto"/>
            <w:vAlign w:val="center"/>
          </w:tcPr>
          <w:p w14:paraId="6E5D1B83">
            <w:pPr>
              <w:pStyle w:val="178"/>
            </w:pPr>
          </w:p>
        </w:tc>
        <w:tc>
          <w:tcPr>
            <w:tcW w:w="533" w:type="pct"/>
            <w:shd w:val="clear" w:color="auto" w:fill="auto"/>
            <w:vAlign w:val="center"/>
          </w:tcPr>
          <w:p w14:paraId="6B8A040C">
            <w:pPr>
              <w:pStyle w:val="178"/>
            </w:pPr>
          </w:p>
        </w:tc>
        <w:tc>
          <w:tcPr>
            <w:tcW w:w="533" w:type="pct"/>
            <w:shd w:val="clear" w:color="auto" w:fill="auto"/>
            <w:vAlign w:val="center"/>
          </w:tcPr>
          <w:p w14:paraId="7F66DD5E">
            <w:pPr>
              <w:pStyle w:val="178"/>
            </w:pPr>
          </w:p>
        </w:tc>
        <w:tc>
          <w:tcPr>
            <w:tcW w:w="533" w:type="pct"/>
            <w:shd w:val="clear" w:color="auto" w:fill="auto"/>
            <w:vAlign w:val="center"/>
          </w:tcPr>
          <w:p w14:paraId="2930ACC7">
            <w:pPr>
              <w:pStyle w:val="178"/>
            </w:pPr>
          </w:p>
        </w:tc>
        <w:tc>
          <w:tcPr>
            <w:tcW w:w="664" w:type="pct"/>
            <w:shd w:val="clear" w:color="auto" w:fill="auto"/>
            <w:vAlign w:val="center"/>
          </w:tcPr>
          <w:p w14:paraId="15DF4D65">
            <w:pPr>
              <w:pStyle w:val="178"/>
            </w:pPr>
          </w:p>
        </w:tc>
        <w:tc>
          <w:tcPr>
            <w:tcW w:w="861" w:type="pct"/>
            <w:shd w:val="clear" w:color="auto" w:fill="auto"/>
            <w:vAlign w:val="center"/>
          </w:tcPr>
          <w:p w14:paraId="31C21A0C">
            <w:pPr>
              <w:pStyle w:val="178"/>
            </w:pPr>
          </w:p>
        </w:tc>
        <w:tc>
          <w:tcPr>
            <w:tcW w:w="536" w:type="pct"/>
            <w:shd w:val="clear" w:color="auto" w:fill="auto"/>
            <w:vAlign w:val="center"/>
          </w:tcPr>
          <w:p w14:paraId="39EEC64B">
            <w:pPr>
              <w:pStyle w:val="178"/>
            </w:pPr>
          </w:p>
        </w:tc>
      </w:tr>
      <w:tr w14:paraId="6C1092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36" w:type="pct"/>
            <w:tcBorders>
              <w:bottom w:val="single" w:color="auto" w:sz="8" w:space="0"/>
            </w:tcBorders>
            <w:shd w:val="clear" w:color="auto" w:fill="auto"/>
            <w:vAlign w:val="center"/>
          </w:tcPr>
          <w:p w14:paraId="0B2C548E">
            <w:pPr>
              <w:pStyle w:val="178"/>
            </w:pPr>
          </w:p>
        </w:tc>
        <w:tc>
          <w:tcPr>
            <w:tcW w:w="533" w:type="pct"/>
            <w:tcBorders>
              <w:bottom w:val="single" w:color="auto" w:sz="8" w:space="0"/>
            </w:tcBorders>
            <w:shd w:val="clear" w:color="auto" w:fill="auto"/>
            <w:vAlign w:val="center"/>
          </w:tcPr>
          <w:p w14:paraId="58DD047F">
            <w:pPr>
              <w:pStyle w:val="178"/>
            </w:pPr>
          </w:p>
        </w:tc>
        <w:tc>
          <w:tcPr>
            <w:tcW w:w="270" w:type="pct"/>
            <w:tcBorders>
              <w:bottom w:val="single" w:color="auto" w:sz="8" w:space="0"/>
            </w:tcBorders>
            <w:shd w:val="clear" w:color="auto" w:fill="auto"/>
            <w:vAlign w:val="center"/>
          </w:tcPr>
          <w:p w14:paraId="592BCC63">
            <w:pPr>
              <w:pStyle w:val="178"/>
            </w:pPr>
          </w:p>
        </w:tc>
        <w:tc>
          <w:tcPr>
            <w:tcW w:w="533" w:type="pct"/>
            <w:tcBorders>
              <w:bottom w:val="single" w:color="auto" w:sz="8" w:space="0"/>
            </w:tcBorders>
            <w:shd w:val="clear" w:color="auto" w:fill="auto"/>
            <w:vAlign w:val="center"/>
          </w:tcPr>
          <w:p w14:paraId="6F6684AE">
            <w:pPr>
              <w:pStyle w:val="178"/>
            </w:pPr>
          </w:p>
        </w:tc>
        <w:tc>
          <w:tcPr>
            <w:tcW w:w="533" w:type="pct"/>
            <w:tcBorders>
              <w:bottom w:val="single" w:color="auto" w:sz="8" w:space="0"/>
            </w:tcBorders>
            <w:shd w:val="clear" w:color="auto" w:fill="auto"/>
            <w:vAlign w:val="center"/>
          </w:tcPr>
          <w:p w14:paraId="4544A894">
            <w:pPr>
              <w:pStyle w:val="178"/>
            </w:pPr>
          </w:p>
        </w:tc>
        <w:tc>
          <w:tcPr>
            <w:tcW w:w="533" w:type="pct"/>
            <w:tcBorders>
              <w:bottom w:val="single" w:color="auto" w:sz="8" w:space="0"/>
            </w:tcBorders>
            <w:shd w:val="clear" w:color="auto" w:fill="auto"/>
            <w:vAlign w:val="center"/>
          </w:tcPr>
          <w:p w14:paraId="7B33659F">
            <w:pPr>
              <w:pStyle w:val="178"/>
            </w:pPr>
          </w:p>
        </w:tc>
        <w:tc>
          <w:tcPr>
            <w:tcW w:w="664" w:type="pct"/>
            <w:tcBorders>
              <w:bottom w:val="single" w:color="auto" w:sz="8" w:space="0"/>
            </w:tcBorders>
            <w:shd w:val="clear" w:color="auto" w:fill="auto"/>
            <w:vAlign w:val="center"/>
          </w:tcPr>
          <w:p w14:paraId="46210F53">
            <w:pPr>
              <w:pStyle w:val="178"/>
            </w:pPr>
          </w:p>
        </w:tc>
        <w:tc>
          <w:tcPr>
            <w:tcW w:w="861" w:type="pct"/>
            <w:tcBorders>
              <w:bottom w:val="single" w:color="auto" w:sz="8" w:space="0"/>
            </w:tcBorders>
            <w:shd w:val="clear" w:color="auto" w:fill="auto"/>
            <w:vAlign w:val="center"/>
          </w:tcPr>
          <w:p w14:paraId="1F3E95C2">
            <w:pPr>
              <w:pStyle w:val="178"/>
            </w:pPr>
          </w:p>
        </w:tc>
        <w:tc>
          <w:tcPr>
            <w:tcW w:w="536" w:type="pct"/>
            <w:tcBorders>
              <w:bottom w:val="single" w:color="auto" w:sz="8" w:space="0"/>
            </w:tcBorders>
            <w:shd w:val="clear" w:color="auto" w:fill="auto"/>
            <w:vAlign w:val="center"/>
          </w:tcPr>
          <w:p w14:paraId="08BFDA9B">
            <w:pPr>
              <w:pStyle w:val="178"/>
            </w:pPr>
          </w:p>
        </w:tc>
      </w:tr>
      <w:tr w14:paraId="0B82D4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5000" w:type="pct"/>
            <w:gridSpan w:val="9"/>
            <w:tcBorders>
              <w:top w:val="single" w:color="auto" w:sz="8" w:space="0"/>
              <w:bottom w:val="single" w:color="auto" w:sz="8" w:space="0"/>
            </w:tcBorders>
            <w:shd w:val="clear" w:color="auto" w:fill="auto"/>
            <w:vAlign w:val="center"/>
          </w:tcPr>
          <w:p w14:paraId="308C31FE">
            <w:pPr>
              <w:pStyle w:val="178"/>
              <w:jc w:val="left"/>
            </w:pPr>
            <w:r>
              <w:rPr>
                <w:rFonts w:hint="eastAsia"/>
                <w:szCs w:val="18"/>
              </w:rPr>
              <w:t>药品备注信息</w:t>
            </w:r>
          </w:p>
        </w:tc>
      </w:tr>
    </w:tbl>
    <w:p w14:paraId="79DC7522">
      <w:pPr>
        <w:pStyle w:val="56"/>
        <w:ind w:firstLine="420"/>
      </w:pPr>
    </w:p>
    <w:p w14:paraId="264F7E62">
      <w:pPr>
        <w:pStyle w:val="56"/>
        <w:ind w:firstLine="420"/>
      </w:pPr>
    </w:p>
    <w:p w14:paraId="60B64500">
      <w:pPr>
        <w:pStyle w:val="56"/>
        <w:ind w:firstLine="420"/>
      </w:pPr>
    </w:p>
    <w:p w14:paraId="68BBA68C">
      <w:pPr>
        <w:pStyle w:val="56"/>
        <w:ind w:firstLine="420"/>
        <w:sectPr>
          <w:pgSz w:w="11906" w:h="16838"/>
          <w:pgMar w:top="1928" w:right="1134" w:bottom="1134" w:left="1134" w:header="1418" w:footer="1134" w:gutter="284"/>
          <w:cols w:space="425" w:num="1"/>
          <w:formProt w:val="0"/>
          <w:docGrid w:type="lines" w:linePitch="312" w:charSpace="0"/>
        </w:sectPr>
      </w:pPr>
    </w:p>
    <w:p w14:paraId="11240789">
      <w:pPr>
        <w:pStyle w:val="198"/>
        <w:rPr>
          <w:vanish w:val="0"/>
        </w:rPr>
      </w:pPr>
    </w:p>
    <w:p w14:paraId="5D628798">
      <w:pPr>
        <w:pStyle w:val="199"/>
        <w:rPr>
          <w:vanish w:val="0"/>
        </w:rPr>
      </w:pPr>
    </w:p>
    <w:p w14:paraId="2D6D1432">
      <w:pPr>
        <w:pStyle w:val="76"/>
        <w:spacing w:after="156"/>
        <w:rPr>
          <w:rFonts w:hint="eastAsia"/>
        </w:rPr>
      </w:pPr>
      <w:r>
        <w:br w:type="textWrapping"/>
      </w:r>
      <w:r>
        <w:rPr>
          <w:rFonts w:hint="eastAsia"/>
        </w:rPr>
        <w:t>（资料性）</w:t>
      </w:r>
      <w:r>
        <w:br w:type="textWrapping"/>
      </w:r>
      <w:r>
        <w:rPr>
          <w:rFonts w:hint="eastAsia"/>
        </w:rPr>
        <w:t>五灵脂信息记录</w:t>
      </w:r>
    </w:p>
    <w:p w14:paraId="0AC10D5C">
      <w:pPr>
        <w:pStyle w:val="78"/>
        <w:spacing w:before="156" w:after="156"/>
        <w:rPr>
          <w:rFonts w:hint="eastAsia"/>
        </w:rPr>
      </w:pPr>
      <w:r>
        <w:rPr>
          <w:rFonts w:hint="eastAsia"/>
        </w:rPr>
        <w:t>五灵脂采收、保存时间及产量信息记录</w:t>
      </w:r>
    </w:p>
    <w:p w14:paraId="2FC0A65B">
      <w:pPr>
        <w:pStyle w:val="56"/>
        <w:ind w:firstLine="420"/>
      </w:pPr>
      <w:r>
        <w:rPr>
          <w:rFonts w:hint="eastAsia"/>
        </w:rPr>
        <w:t>五灵脂采收、保存时间及产量信息记录见表E.1。</w:t>
      </w:r>
    </w:p>
    <w:p w14:paraId="5D111EE2">
      <w:pPr>
        <w:pStyle w:val="77"/>
        <w:spacing w:before="156" w:after="156"/>
        <w:rPr>
          <w:rFonts w:hint="eastAsia"/>
          <w:b/>
          <w:bCs/>
          <w:szCs w:val="21"/>
        </w:rPr>
      </w:pPr>
      <w:r>
        <w:rPr>
          <w:rFonts w:hint="eastAsia"/>
          <w:b/>
          <w:bCs/>
          <w:szCs w:val="21"/>
        </w:rPr>
        <w:t>五灵脂采收、保存时间及产量信息记录表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3ECD2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3"/>
            <w:tcBorders>
              <w:top w:val="single" w:color="auto" w:sz="8" w:space="0"/>
              <w:bottom w:val="single" w:color="auto" w:sz="8" w:space="0"/>
            </w:tcBorders>
            <w:shd w:val="clear" w:color="auto" w:fill="auto"/>
            <w:vAlign w:val="center"/>
          </w:tcPr>
          <w:p w14:paraId="67D11C0C">
            <w:pPr>
              <w:pStyle w:val="178"/>
              <w:jc w:val="left"/>
            </w:pPr>
            <w:r>
              <w:rPr>
                <w:rFonts w:hint="eastAsia"/>
              </w:rPr>
              <w:t>操作人员：</w:t>
            </w:r>
          </w:p>
        </w:tc>
      </w:tr>
      <w:tr w14:paraId="19606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5792B5A2">
            <w:pPr>
              <w:pStyle w:val="178"/>
            </w:pPr>
            <w:r>
              <w:rPr>
                <w:rFonts w:hint="eastAsia"/>
                <w:szCs w:val="18"/>
              </w:rPr>
              <w:t>采收时间</w:t>
            </w:r>
          </w:p>
        </w:tc>
        <w:tc>
          <w:tcPr>
            <w:tcW w:w="3112" w:type="dxa"/>
            <w:tcBorders>
              <w:top w:val="single" w:color="auto" w:sz="8" w:space="0"/>
            </w:tcBorders>
            <w:shd w:val="clear" w:color="auto" w:fill="auto"/>
          </w:tcPr>
          <w:p w14:paraId="22BA1113">
            <w:pPr>
              <w:pStyle w:val="178"/>
            </w:pPr>
            <w:r>
              <w:rPr>
                <w:rFonts w:hint="eastAsia"/>
                <w:szCs w:val="18"/>
              </w:rPr>
              <w:t>保存时间</w:t>
            </w:r>
          </w:p>
        </w:tc>
        <w:tc>
          <w:tcPr>
            <w:tcW w:w="3112" w:type="dxa"/>
            <w:tcBorders>
              <w:top w:val="single" w:color="auto" w:sz="8" w:space="0"/>
            </w:tcBorders>
            <w:shd w:val="clear" w:color="auto" w:fill="auto"/>
          </w:tcPr>
          <w:p w14:paraId="5977839F">
            <w:pPr>
              <w:pStyle w:val="178"/>
            </w:pPr>
            <w:r>
              <w:rPr>
                <w:rFonts w:hint="eastAsia"/>
                <w:szCs w:val="18"/>
              </w:rPr>
              <w:t>干重（kg）</w:t>
            </w:r>
          </w:p>
        </w:tc>
      </w:tr>
      <w:tr w14:paraId="44E39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7DF77691">
            <w:pPr>
              <w:pStyle w:val="178"/>
            </w:pPr>
          </w:p>
        </w:tc>
        <w:tc>
          <w:tcPr>
            <w:tcW w:w="3112" w:type="dxa"/>
            <w:shd w:val="clear" w:color="auto" w:fill="auto"/>
            <w:vAlign w:val="center"/>
          </w:tcPr>
          <w:p w14:paraId="0F30A9D3">
            <w:pPr>
              <w:pStyle w:val="178"/>
            </w:pPr>
          </w:p>
        </w:tc>
        <w:tc>
          <w:tcPr>
            <w:tcW w:w="3112" w:type="dxa"/>
            <w:shd w:val="clear" w:color="auto" w:fill="auto"/>
            <w:vAlign w:val="center"/>
          </w:tcPr>
          <w:p w14:paraId="1C498A9F">
            <w:pPr>
              <w:pStyle w:val="178"/>
            </w:pPr>
          </w:p>
        </w:tc>
      </w:tr>
      <w:tr w14:paraId="7320D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21ADEA4F">
            <w:pPr>
              <w:pStyle w:val="178"/>
            </w:pPr>
          </w:p>
        </w:tc>
        <w:tc>
          <w:tcPr>
            <w:tcW w:w="3112" w:type="dxa"/>
            <w:shd w:val="clear" w:color="auto" w:fill="auto"/>
            <w:vAlign w:val="center"/>
          </w:tcPr>
          <w:p w14:paraId="22B91505">
            <w:pPr>
              <w:pStyle w:val="178"/>
            </w:pPr>
          </w:p>
        </w:tc>
        <w:tc>
          <w:tcPr>
            <w:tcW w:w="3112" w:type="dxa"/>
            <w:shd w:val="clear" w:color="auto" w:fill="auto"/>
            <w:vAlign w:val="center"/>
          </w:tcPr>
          <w:p w14:paraId="1D6673A9">
            <w:pPr>
              <w:pStyle w:val="178"/>
            </w:pPr>
          </w:p>
        </w:tc>
      </w:tr>
      <w:tr w14:paraId="155951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3BF65D8F">
            <w:pPr>
              <w:pStyle w:val="178"/>
            </w:pPr>
          </w:p>
        </w:tc>
        <w:tc>
          <w:tcPr>
            <w:tcW w:w="3112" w:type="dxa"/>
            <w:shd w:val="clear" w:color="auto" w:fill="auto"/>
            <w:vAlign w:val="center"/>
          </w:tcPr>
          <w:p w14:paraId="571B64D9">
            <w:pPr>
              <w:pStyle w:val="178"/>
            </w:pPr>
          </w:p>
        </w:tc>
        <w:tc>
          <w:tcPr>
            <w:tcW w:w="3112" w:type="dxa"/>
            <w:shd w:val="clear" w:color="auto" w:fill="auto"/>
            <w:vAlign w:val="center"/>
          </w:tcPr>
          <w:p w14:paraId="6F64C214">
            <w:pPr>
              <w:pStyle w:val="178"/>
            </w:pPr>
          </w:p>
        </w:tc>
      </w:tr>
      <w:tr w14:paraId="26197E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vAlign w:val="center"/>
          </w:tcPr>
          <w:p w14:paraId="20137A8D">
            <w:pPr>
              <w:pStyle w:val="178"/>
            </w:pPr>
          </w:p>
        </w:tc>
        <w:tc>
          <w:tcPr>
            <w:tcW w:w="3112" w:type="dxa"/>
            <w:shd w:val="clear" w:color="auto" w:fill="auto"/>
            <w:vAlign w:val="center"/>
          </w:tcPr>
          <w:p w14:paraId="0F3C4FBC">
            <w:pPr>
              <w:pStyle w:val="178"/>
            </w:pPr>
          </w:p>
        </w:tc>
        <w:tc>
          <w:tcPr>
            <w:tcW w:w="3112" w:type="dxa"/>
            <w:shd w:val="clear" w:color="auto" w:fill="auto"/>
            <w:vAlign w:val="center"/>
          </w:tcPr>
          <w:p w14:paraId="7BD75461">
            <w:pPr>
              <w:pStyle w:val="178"/>
            </w:pPr>
          </w:p>
        </w:tc>
      </w:tr>
    </w:tbl>
    <w:p w14:paraId="36AAB028">
      <w:pPr>
        <w:pStyle w:val="78"/>
        <w:spacing w:before="156" w:after="156"/>
        <w:rPr>
          <w:rFonts w:hint="eastAsia"/>
        </w:rPr>
      </w:pPr>
      <w:r>
        <w:rPr>
          <w:rFonts w:hint="eastAsia"/>
        </w:rPr>
        <w:t>五灵脂出场记录</w:t>
      </w:r>
    </w:p>
    <w:p w14:paraId="2343C609">
      <w:pPr>
        <w:pStyle w:val="56"/>
        <w:ind w:firstLine="420"/>
      </w:pPr>
      <w:r>
        <w:rPr>
          <w:rFonts w:hint="eastAsia"/>
        </w:rPr>
        <w:t>五灵脂出场记录见表E.2。</w:t>
      </w:r>
    </w:p>
    <w:p w14:paraId="375F8372">
      <w:pPr>
        <w:pStyle w:val="77"/>
        <w:spacing w:before="156" w:after="156"/>
      </w:pPr>
      <w:r>
        <w:rPr>
          <w:rFonts w:hint="eastAsia"/>
        </w:rPr>
        <w:t>五灵脂出场记录表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4DC198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3CEE7A43">
            <w:pPr>
              <w:pStyle w:val="178"/>
            </w:pPr>
            <w:r>
              <w:rPr>
                <w:rFonts w:hint="eastAsia"/>
              </w:rPr>
              <w:t>时间</w:t>
            </w:r>
          </w:p>
        </w:tc>
        <w:tc>
          <w:tcPr>
            <w:tcW w:w="1867" w:type="dxa"/>
            <w:tcBorders>
              <w:top w:val="single" w:color="auto" w:sz="8" w:space="0"/>
              <w:bottom w:val="single" w:color="auto" w:sz="8" w:space="0"/>
            </w:tcBorders>
            <w:shd w:val="clear" w:color="auto" w:fill="auto"/>
          </w:tcPr>
          <w:p w14:paraId="70F5AAC5">
            <w:pPr>
              <w:pStyle w:val="178"/>
            </w:pPr>
            <w:r>
              <w:rPr>
                <w:rFonts w:hint="eastAsia"/>
              </w:rPr>
              <w:t>出场原因</w:t>
            </w:r>
          </w:p>
        </w:tc>
        <w:tc>
          <w:tcPr>
            <w:tcW w:w="1867" w:type="dxa"/>
            <w:tcBorders>
              <w:top w:val="single" w:color="auto" w:sz="8" w:space="0"/>
              <w:bottom w:val="single" w:color="auto" w:sz="8" w:space="0"/>
            </w:tcBorders>
            <w:shd w:val="clear" w:color="auto" w:fill="auto"/>
          </w:tcPr>
          <w:p w14:paraId="26728FAC">
            <w:pPr>
              <w:pStyle w:val="178"/>
            </w:pPr>
            <w:r>
              <w:rPr>
                <w:rFonts w:hint="eastAsia"/>
              </w:rPr>
              <w:t>重量（kg）</w:t>
            </w:r>
          </w:p>
        </w:tc>
        <w:tc>
          <w:tcPr>
            <w:tcW w:w="1867" w:type="dxa"/>
            <w:tcBorders>
              <w:top w:val="single" w:color="auto" w:sz="8" w:space="0"/>
              <w:bottom w:val="single" w:color="auto" w:sz="8" w:space="0"/>
            </w:tcBorders>
            <w:shd w:val="clear" w:color="auto" w:fill="auto"/>
          </w:tcPr>
          <w:p w14:paraId="2CBE9ED0">
            <w:pPr>
              <w:pStyle w:val="178"/>
            </w:pPr>
            <w:r>
              <w:rPr>
                <w:rFonts w:hint="eastAsia"/>
              </w:rPr>
              <w:t>价格（元）</w:t>
            </w:r>
          </w:p>
        </w:tc>
        <w:tc>
          <w:tcPr>
            <w:tcW w:w="1867" w:type="dxa"/>
            <w:tcBorders>
              <w:top w:val="single" w:color="auto" w:sz="8" w:space="0"/>
              <w:bottom w:val="single" w:color="auto" w:sz="8" w:space="0"/>
            </w:tcBorders>
            <w:shd w:val="clear" w:color="auto" w:fill="auto"/>
          </w:tcPr>
          <w:p w14:paraId="503FB5A4">
            <w:pPr>
              <w:pStyle w:val="178"/>
            </w:pPr>
            <w:r>
              <w:rPr>
                <w:rFonts w:hint="eastAsia"/>
              </w:rPr>
              <w:t>总价（元）</w:t>
            </w:r>
          </w:p>
        </w:tc>
      </w:tr>
      <w:tr w14:paraId="210F7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7BD2563B">
            <w:pPr>
              <w:pStyle w:val="178"/>
            </w:pPr>
          </w:p>
        </w:tc>
        <w:tc>
          <w:tcPr>
            <w:tcW w:w="1867" w:type="dxa"/>
            <w:tcBorders>
              <w:top w:val="single" w:color="auto" w:sz="8" w:space="0"/>
            </w:tcBorders>
            <w:shd w:val="clear" w:color="auto" w:fill="auto"/>
            <w:vAlign w:val="center"/>
          </w:tcPr>
          <w:p w14:paraId="2BF0AA0F">
            <w:pPr>
              <w:pStyle w:val="178"/>
            </w:pPr>
          </w:p>
        </w:tc>
        <w:tc>
          <w:tcPr>
            <w:tcW w:w="1867" w:type="dxa"/>
            <w:tcBorders>
              <w:top w:val="single" w:color="auto" w:sz="8" w:space="0"/>
            </w:tcBorders>
            <w:shd w:val="clear" w:color="auto" w:fill="auto"/>
            <w:vAlign w:val="center"/>
          </w:tcPr>
          <w:p w14:paraId="211DFF58">
            <w:pPr>
              <w:pStyle w:val="178"/>
            </w:pPr>
          </w:p>
        </w:tc>
        <w:tc>
          <w:tcPr>
            <w:tcW w:w="1867" w:type="dxa"/>
            <w:tcBorders>
              <w:top w:val="single" w:color="auto" w:sz="8" w:space="0"/>
            </w:tcBorders>
            <w:shd w:val="clear" w:color="auto" w:fill="auto"/>
            <w:vAlign w:val="center"/>
          </w:tcPr>
          <w:p w14:paraId="5581B18F">
            <w:pPr>
              <w:pStyle w:val="178"/>
            </w:pPr>
          </w:p>
        </w:tc>
        <w:tc>
          <w:tcPr>
            <w:tcW w:w="1867" w:type="dxa"/>
            <w:tcBorders>
              <w:top w:val="single" w:color="auto" w:sz="8" w:space="0"/>
            </w:tcBorders>
            <w:shd w:val="clear" w:color="auto" w:fill="auto"/>
            <w:vAlign w:val="center"/>
          </w:tcPr>
          <w:p w14:paraId="3F422DE5">
            <w:pPr>
              <w:pStyle w:val="178"/>
            </w:pPr>
          </w:p>
        </w:tc>
      </w:tr>
      <w:tr w14:paraId="1BDDA7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372F9E08">
            <w:pPr>
              <w:pStyle w:val="178"/>
            </w:pPr>
          </w:p>
        </w:tc>
        <w:tc>
          <w:tcPr>
            <w:tcW w:w="1867" w:type="dxa"/>
            <w:shd w:val="clear" w:color="auto" w:fill="auto"/>
            <w:vAlign w:val="center"/>
          </w:tcPr>
          <w:p w14:paraId="10568068">
            <w:pPr>
              <w:pStyle w:val="178"/>
            </w:pPr>
          </w:p>
        </w:tc>
        <w:tc>
          <w:tcPr>
            <w:tcW w:w="1867" w:type="dxa"/>
            <w:shd w:val="clear" w:color="auto" w:fill="auto"/>
            <w:vAlign w:val="center"/>
          </w:tcPr>
          <w:p w14:paraId="45FDAA38">
            <w:pPr>
              <w:pStyle w:val="178"/>
            </w:pPr>
          </w:p>
        </w:tc>
        <w:tc>
          <w:tcPr>
            <w:tcW w:w="1867" w:type="dxa"/>
            <w:shd w:val="clear" w:color="auto" w:fill="auto"/>
            <w:vAlign w:val="center"/>
          </w:tcPr>
          <w:p w14:paraId="09EB4E24">
            <w:pPr>
              <w:pStyle w:val="178"/>
            </w:pPr>
          </w:p>
        </w:tc>
        <w:tc>
          <w:tcPr>
            <w:tcW w:w="1867" w:type="dxa"/>
            <w:shd w:val="clear" w:color="auto" w:fill="auto"/>
            <w:vAlign w:val="center"/>
          </w:tcPr>
          <w:p w14:paraId="303D8FAE">
            <w:pPr>
              <w:pStyle w:val="178"/>
            </w:pPr>
          </w:p>
        </w:tc>
      </w:tr>
      <w:tr w14:paraId="6226B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1C4C0F08">
            <w:pPr>
              <w:pStyle w:val="178"/>
            </w:pPr>
          </w:p>
        </w:tc>
        <w:tc>
          <w:tcPr>
            <w:tcW w:w="1867" w:type="dxa"/>
            <w:shd w:val="clear" w:color="auto" w:fill="auto"/>
            <w:vAlign w:val="center"/>
          </w:tcPr>
          <w:p w14:paraId="265135CC">
            <w:pPr>
              <w:pStyle w:val="178"/>
            </w:pPr>
          </w:p>
        </w:tc>
        <w:tc>
          <w:tcPr>
            <w:tcW w:w="1867" w:type="dxa"/>
            <w:shd w:val="clear" w:color="auto" w:fill="auto"/>
            <w:vAlign w:val="center"/>
          </w:tcPr>
          <w:p w14:paraId="4981DBD7">
            <w:pPr>
              <w:pStyle w:val="178"/>
            </w:pPr>
          </w:p>
        </w:tc>
        <w:tc>
          <w:tcPr>
            <w:tcW w:w="1867" w:type="dxa"/>
            <w:shd w:val="clear" w:color="auto" w:fill="auto"/>
            <w:vAlign w:val="center"/>
          </w:tcPr>
          <w:p w14:paraId="7DBF1B78">
            <w:pPr>
              <w:pStyle w:val="178"/>
            </w:pPr>
          </w:p>
        </w:tc>
        <w:tc>
          <w:tcPr>
            <w:tcW w:w="1867" w:type="dxa"/>
            <w:shd w:val="clear" w:color="auto" w:fill="auto"/>
            <w:vAlign w:val="center"/>
          </w:tcPr>
          <w:p w14:paraId="16E9282B">
            <w:pPr>
              <w:pStyle w:val="178"/>
            </w:pPr>
          </w:p>
        </w:tc>
      </w:tr>
      <w:tr w14:paraId="7D6C9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3B41A462">
            <w:pPr>
              <w:pStyle w:val="178"/>
            </w:pPr>
          </w:p>
        </w:tc>
        <w:tc>
          <w:tcPr>
            <w:tcW w:w="1867" w:type="dxa"/>
            <w:shd w:val="clear" w:color="auto" w:fill="auto"/>
            <w:vAlign w:val="center"/>
          </w:tcPr>
          <w:p w14:paraId="334C36BE">
            <w:pPr>
              <w:pStyle w:val="178"/>
            </w:pPr>
          </w:p>
        </w:tc>
        <w:tc>
          <w:tcPr>
            <w:tcW w:w="1867" w:type="dxa"/>
            <w:shd w:val="clear" w:color="auto" w:fill="auto"/>
            <w:vAlign w:val="center"/>
          </w:tcPr>
          <w:p w14:paraId="3B0F6998">
            <w:pPr>
              <w:pStyle w:val="178"/>
            </w:pPr>
          </w:p>
        </w:tc>
        <w:tc>
          <w:tcPr>
            <w:tcW w:w="1867" w:type="dxa"/>
            <w:shd w:val="clear" w:color="auto" w:fill="auto"/>
            <w:vAlign w:val="center"/>
          </w:tcPr>
          <w:p w14:paraId="6AF3DD03">
            <w:pPr>
              <w:pStyle w:val="178"/>
            </w:pPr>
          </w:p>
        </w:tc>
        <w:tc>
          <w:tcPr>
            <w:tcW w:w="1867" w:type="dxa"/>
            <w:shd w:val="clear" w:color="auto" w:fill="auto"/>
            <w:vAlign w:val="center"/>
          </w:tcPr>
          <w:p w14:paraId="51F427D4">
            <w:pPr>
              <w:pStyle w:val="178"/>
            </w:pPr>
          </w:p>
        </w:tc>
      </w:tr>
      <w:tr w14:paraId="0581A5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199A4889">
            <w:pPr>
              <w:pStyle w:val="178"/>
            </w:pPr>
          </w:p>
        </w:tc>
        <w:tc>
          <w:tcPr>
            <w:tcW w:w="1867" w:type="dxa"/>
            <w:shd w:val="clear" w:color="auto" w:fill="auto"/>
            <w:vAlign w:val="center"/>
          </w:tcPr>
          <w:p w14:paraId="7359BA68">
            <w:pPr>
              <w:pStyle w:val="178"/>
            </w:pPr>
          </w:p>
        </w:tc>
        <w:tc>
          <w:tcPr>
            <w:tcW w:w="1867" w:type="dxa"/>
            <w:shd w:val="clear" w:color="auto" w:fill="auto"/>
            <w:vAlign w:val="center"/>
          </w:tcPr>
          <w:p w14:paraId="146A8C07">
            <w:pPr>
              <w:pStyle w:val="178"/>
            </w:pPr>
          </w:p>
        </w:tc>
        <w:tc>
          <w:tcPr>
            <w:tcW w:w="1867" w:type="dxa"/>
            <w:shd w:val="clear" w:color="auto" w:fill="auto"/>
            <w:vAlign w:val="center"/>
          </w:tcPr>
          <w:p w14:paraId="1FF2D81E">
            <w:pPr>
              <w:pStyle w:val="178"/>
            </w:pPr>
          </w:p>
        </w:tc>
        <w:tc>
          <w:tcPr>
            <w:tcW w:w="1867" w:type="dxa"/>
            <w:shd w:val="clear" w:color="auto" w:fill="auto"/>
            <w:vAlign w:val="center"/>
          </w:tcPr>
          <w:p w14:paraId="79839B89">
            <w:pPr>
              <w:pStyle w:val="178"/>
            </w:pPr>
          </w:p>
        </w:tc>
      </w:tr>
    </w:tbl>
    <w:p w14:paraId="7947DDD9">
      <w:pPr>
        <w:pStyle w:val="56"/>
        <w:ind w:firstLine="420"/>
      </w:pPr>
    </w:p>
    <w:p w14:paraId="618CAD1B">
      <w:pPr>
        <w:pStyle w:val="56"/>
        <w:ind w:firstLine="420"/>
      </w:pPr>
    </w:p>
    <w:p w14:paraId="759734CD">
      <w:pPr>
        <w:pStyle w:val="56"/>
        <w:ind w:firstLine="420"/>
        <w:sectPr>
          <w:pgSz w:w="11906" w:h="16838"/>
          <w:pgMar w:top="1928" w:right="1134" w:bottom="1134" w:left="1134" w:header="1418" w:footer="1134" w:gutter="284"/>
          <w:cols w:space="425" w:num="1"/>
          <w:formProt w:val="0"/>
          <w:docGrid w:type="lines" w:linePitch="312" w:charSpace="0"/>
        </w:sectPr>
      </w:pPr>
    </w:p>
    <w:p w14:paraId="3762E738">
      <w:pPr>
        <w:pStyle w:val="198"/>
        <w:rPr>
          <w:vanish w:val="0"/>
        </w:rPr>
      </w:pPr>
    </w:p>
    <w:p w14:paraId="2A957FDB">
      <w:pPr>
        <w:pStyle w:val="199"/>
        <w:rPr>
          <w:vanish w:val="0"/>
        </w:rPr>
      </w:pPr>
    </w:p>
    <w:p w14:paraId="1A314146">
      <w:pPr>
        <w:pStyle w:val="76"/>
        <w:spacing w:after="156"/>
        <w:rPr>
          <w:rFonts w:hint="eastAsia"/>
        </w:rPr>
      </w:pPr>
      <w:r>
        <w:br w:type="textWrapping"/>
      </w:r>
      <w:r>
        <w:rPr>
          <w:rFonts w:hint="eastAsia"/>
        </w:rPr>
        <w:t>（资料性）</w:t>
      </w:r>
      <w:r>
        <w:br w:type="textWrapping"/>
      </w:r>
      <w:r>
        <w:rPr>
          <w:rFonts w:hint="eastAsia"/>
          <w:lang w:val="en-US" w:eastAsia="zh-CN"/>
        </w:rPr>
        <w:t>复齿</w:t>
      </w:r>
      <w:r>
        <w:rPr>
          <w:rFonts w:hint="eastAsia"/>
        </w:rPr>
        <w:t>鼯鼠出场纪录</w:t>
      </w:r>
    </w:p>
    <w:p w14:paraId="34121F5A">
      <w:pPr>
        <w:pStyle w:val="78"/>
        <w:spacing w:before="156" w:after="156"/>
        <w:rPr>
          <w:rFonts w:hint="eastAsia"/>
        </w:rPr>
      </w:pPr>
      <w:r>
        <w:rPr>
          <w:rFonts w:hint="eastAsia"/>
          <w:lang w:val="en-US" w:eastAsia="zh-CN"/>
        </w:rPr>
        <w:t>复齿</w:t>
      </w:r>
      <w:r>
        <w:rPr>
          <w:rFonts w:hint="eastAsia"/>
        </w:rPr>
        <w:t>鼯鼠出场记录</w:t>
      </w:r>
    </w:p>
    <w:p w14:paraId="58AEA1E4">
      <w:pPr>
        <w:pStyle w:val="56"/>
        <w:ind w:firstLine="420"/>
      </w:pPr>
      <w:r>
        <w:rPr>
          <w:rFonts w:hint="eastAsia"/>
          <w:lang w:val="en-US" w:eastAsia="zh-CN"/>
        </w:rPr>
        <w:t>复齿</w:t>
      </w:r>
      <w:r>
        <w:rPr>
          <w:rFonts w:hint="eastAsia"/>
        </w:rPr>
        <w:t>鼯鼠出场记录见表F.1。</w:t>
      </w:r>
    </w:p>
    <w:p w14:paraId="1300F64E">
      <w:pPr>
        <w:pStyle w:val="77"/>
        <w:spacing w:before="156" w:after="156"/>
      </w:pPr>
      <w:r>
        <w:rPr>
          <w:rFonts w:hint="eastAsia"/>
          <w:lang w:val="en-US" w:eastAsia="zh-CN"/>
        </w:rPr>
        <w:t>复齿</w:t>
      </w:r>
      <w:r>
        <w:rPr>
          <w:rFonts w:hint="eastAsia"/>
        </w:rPr>
        <w:t>鼯鼠出场记录表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1E675495">
        <w:tblPrEx>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00DE6BF5">
            <w:pPr>
              <w:pStyle w:val="178"/>
            </w:pPr>
            <w:r>
              <w:rPr>
                <w:rFonts w:hint="eastAsia"/>
              </w:rPr>
              <w:t>时间</w:t>
            </w:r>
          </w:p>
        </w:tc>
        <w:tc>
          <w:tcPr>
            <w:tcW w:w="1556" w:type="dxa"/>
            <w:tcBorders>
              <w:top w:val="single" w:color="auto" w:sz="8" w:space="0"/>
              <w:bottom w:val="single" w:color="auto" w:sz="8" w:space="0"/>
            </w:tcBorders>
            <w:shd w:val="clear" w:color="auto" w:fill="auto"/>
          </w:tcPr>
          <w:p w14:paraId="54D7601D">
            <w:pPr>
              <w:pStyle w:val="178"/>
            </w:pPr>
            <w:r>
              <w:rPr>
                <w:rFonts w:hint="eastAsia"/>
              </w:rPr>
              <w:t>数量（只）</w:t>
            </w:r>
          </w:p>
        </w:tc>
        <w:tc>
          <w:tcPr>
            <w:tcW w:w="1555" w:type="dxa"/>
            <w:tcBorders>
              <w:top w:val="single" w:color="auto" w:sz="8" w:space="0"/>
              <w:bottom w:val="single" w:color="auto" w:sz="8" w:space="0"/>
            </w:tcBorders>
            <w:shd w:val="clear" w:color="auto" w:fill="auto"/>
          </w:tcPr>
          <w:p w14:paraId="144D57BD">
            <w:pPr>
              <w:pStyle w:val="178"/>
            </w:pPr>
            <w:r>
              <w:rPr>
                <w:rFonts w:hint="eastAsia"/>
              </w:rPr>
              <w:t>圈舍号</w:t>
            </w:r>
          </w:p>
        </w:tc>
        <w:tc>
          <w:tcPr>
            <w:tcW w:w="1555" w:type="dxa"/>
            <w:tcBorders>
              <w:top w:val="single" w:color="auto" w:sz="8" w:space="0"/>
              <w:bottom w:val="single" w:color="auto" w:sz="8" w:space="0"/>
            </w:tcBorders>
            <w:shd w:val="clear" w:color="auto" w:fill="auto"/>
          </w:tcPr>
          <w:p w14:paraId="64205532">
            <w:pPr>
              <w:pStyle w:val="178"/>
            </w:pPr>
            <w:r>
              <w:rPr>
                <w:rFonts w:hint="eastAsia"/>
              </w:rPr>
              <w:t>销售原因</w:t>
            </w:r>
          </w:p>
        </w:tc>
        <w:tc>
          <w:tcPr>
            <w:tcW w:w="1556" w:type="dxa"/>
            <w:tcBorders>
              <w:top w:val="single" w:color="auto" w:sz="8" w:space="0"/>
              <w:bottom w:val="single" w:color="auto" w:sz="8" w:space="0"/>
            </w:tcBorders>
            <w:shd w:val="clear" w:color="auto" w:fill="auto"/>
          </w:tcPr>
          <w:p w14:paraId="285EA842">
            <w:pPr>
              <w:pStyle w:val="178"/>
            </w:pPr>
            <w:r>
              <w:rPr>
                <w:rFonts w:hint="eastAsia"/>
              </w:rPr>
              <w:t>销售去向</w:t>
            </w:r>
          </w:p>
        </w:tc>
        <w:tc>
          <w:tcPr>
            <w:tcW w:w="1556" w:type="dxa"/>
            <w:tcBorders>
              <w:top w:val="single" w:color="auto" w:sz="8" w:space="0"/>
              <w:bottom w:val="single" w:color="auto" w:sz="8" w:space="0"/>
            </w:tcBorders>
            <w:shd w:val="clear" w:color="auto" w:fill="auto"/>
          </w:tcPr>
          <w:p w14:paraId="6B7962DB">
            <w:pPr>
              <w:pStyle w:val="178"/>
            </w:pPr>
            <w:r>
              <w:rPr>
                <w:rFonts w:hint="eastAsia"/>
              </w:rPr>
              <w:t>价格（元）</w:t>
            </w:r>
          </w:p>
        </w:tc>
      </w:tr>
      <w:tr w14:paraId="2B6C6F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vAlign w:val="center"/>
          </w:tcPr>
          <w:p w14:paraId="7796EC7C">
            <w:pPr>
              <w:pStyle w:val="178"/>
            </w:pPr>
          </w:p>
        </w:tc>
        <w:tc>
          <w:tcPr>
            <w:tcW w:w="1556" w:type="dxa"/>
            <w:tcBorders>
              <w:top w:val="single" w:color="auto" w:sz="8" w:space="0"/>
            </w:tcBorders>
            <w:shd w:val="clear" w:color="auto" w:fill="auto"/>
            <w:vAlign w:val="center"/>
          </w:tcPr>
          <w:p w14:paraId="4D168DAF">
            <w:pPr>
              <w:pStyle w:val="178"/>
            </w:pPr>
          </w:p>
        </w:tc>
        <w:tc>
          <w:tcPr>
            <w:tcW w:w="1555" w:type="dxa"/>
            <w:tcBorders>
              <w:top w:val="single" w:color="auto" w:sz="8" w:space="0"/>
            </w:tcBorders>
            <w:shd w:val="clear" w:color="auto" w:fill="auto"/>
            <w:vAlign w:val="center"/>
          </w:tcPr>
          <w:p w14:paraId="53ADEDE1">
            <w:pPr>
              <w:pStyle w:val="178"/>
            </w:pPr>
          </w:p>
        </w:tc>
        <w:tc>
          <w:tcPr>
            <w:tcW w:w="1555" w:type="dxa"/>
            <w:tcBorders>
              <w:top w:val="single" w:color="auto" w:sz="8" w:space="0"/>
            </w:tcBorders>
            <w:shd w:val="clear" w:color="auto" w:fill="auto"/>
            <w:vAlign w:val="center"/>
          </w:tcPr>
          <w:p w14:paraId="419A6DE7">
            <w:pPr>
              <w:pStyle w:val="178"/>
            </w:pPr>
          </w:p>
        </w:tc>
        <w:tc>
          <w:tcPr>
            <w:tcW w:w="1556" w:type="dxa"/>
            <w:tcBorders>
              <w:top w:val="single" w:color="auto" w:sz="8" w:space="0"/>
            </w:tcBorders>
            <w:shd w:val="clear" w:color="auto" w:fill="auto"/>
            <w:vAlign w:val="center"/>
          </w:tcPr>
          <w:p w14:paraId="56F3E01E">
            <w:pPr>
              <w:pStyle w:val="178"/>
            </w:pPr>
          </w:p>
        </w:tc>
        <w:tc>
          <w:tcPr>
            <w:tcW w:w="1556" w:type="dxa"/>
            <w:tcBorders>
              <w:top w:val="single" w:color="auto" w:sz="8" w:space="0"/>
            </w:tcBorders>
            <w:shd w:val="clear" w:color="auto" w:fill="auto"/>
            <w:vAlign w:val="center"/>
          </w:tcPr>
          <w:p w14:paraId="57A2D604">
            <w:pPr>
              <w:pStyle w:val="178"/>
            </w:pPr>
          </w:p>
        </w:tc>
      </w:tr>
      <w:tr w14:paraId="1CAE3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73FECCD7">
            <w:pPr>
              <w:pStyle w:val="178"/>
            </w:pPr>
          </w:p>
        </w:tc>
        <w:tc>
          <w:tcPr>
            <w:tcW w:w="1556" w:type="dxa"/>
            <w:shd w:val="clear" w:color="auto" w:fill="auto"/>
            <w:vAlign w:val="center"/>
          </w:tcPr>
          <w:p w14:paraId="44F66239">
            <w:pPr>
              <w:pStyle w:val="178"/>
            </w:pPr>
          </w:p>
        </w:tc>
        <w:tc>
          <w:tcPr>
            <w:tcW w:w="1555" w:type="dxa"/>
            <w:shd w:val="clear" w:color="auto" w:fill="auto"/>
            <w:vAlign w:val="center"/>
          </w:tcPr>
          <w:p w14:paraId="23FE638D">
            <w:pPr>
              <w:pStyle w:val="178"/>
            </w:pPr>
          </w:p>
        </w:tc>
        <w:tc>
          <w:tcPr>
            <w:tcW w:w="1555" w:type="dxa"/>
            <w:shd w:val="clear" w:color="auto" w:fill="auto"/>
            <w:vAlign w:val="center"/>
          </w:tcPr>
          <w:p w14:paraId="573B38AC">
            <w:pPr>
              <w:pStyle w:val="178"/>
            </w:pPr>
          </w:p>
        </w:tc>
        <w:tc>
          <w:tcPr>
            <w:tcW w:w="1556" w:type="dxa"/>
            <w:shd w:val="clear" w:color="auto" w:fill="auto"/>
            <w:vAlign w:val="center"/>
          </w:tcPr>
          <w:p w14:paraId="6D74B1E9">
            <w:pPr>
              <w:pStyle w:val="178"/>
            </w:pPr>
          </w:p>
        </w:tc>
        <w:tc>
          <w:tcPr>
            <w:tcW w:w="1556" w:type="dxa"/>
            <w:shd w:val="clear" w:color="auto" w:fill="auto"/>
            <w:vAlign w:val="center"/>
          </w:tcPr>
          <w:p w14:paraId="058E8D36">
            <w:pPr>
              <w:pStyle w:val="178"/>
            </w:pPr>
          </w:p>
        </w:tc>
      </w:tr>
      <w:tr w14:paraId="5690FF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0C59EF49">
            <w:pPr>
              <w:pStyle w:val="178"/>
            </w:pPr>
          </w:p>
        </w:tc>
        <w:tc>
          <w:tcPr>
            <w:tcW w:w="1556" w:type="dxa"/>
            <w:shd w:val="clear" w:color="auto" w:fill="auto"/>
            <w:vAlign w:val="center"/>
          </w:tcPr>
          <w:p w14:paraId="218F83C3">
            <w:pPr>
              <w:pStyle w:val="178"/>
            </w:pPr>
          </w:p>
        </w:tc>
        <w:tc>
          <w:tcPr>
            <w:tcW w:w="1555" w:type="dxa"/>
            <w:shd w:val="clear" w:color="auto" w:fill="auto"/>
            <w:vAlign w:val="center"/>
          </w:tcPr>
          <w:p w14:paraId="31682D24">
            <w:pPr>
              <w:pStyle w:val="178"/>
            </w:pPr>
          </w:p>
        </w:tc>
        <w:tc>
          <w:tcPr>
            <w:tcW w:w="1555" w:type="dxa"/>
            <w:shd w:val="clear" w:color="auto" w:fill="auto"/>
            <w:vAlign w:val="center"/>
          </w:tcPr>
          <w:p w14:paraId="7B276077">
            <w:pPr>
              <w:pStyle w:val="178"/>
            </w:pPr>
          </w:p>
        </w:tc>
        <w:tc>
          <w:tcPr>
            <w:tcW w:w="1556" w:type="dxa"/>
            <w:shd w:val="clear" w:color="auto" w:fill="auto"/>
            <w:vAlign w:val="center"/>
          </w:tcPr>
          <w:p w14:paraId="7A557275">
            <w:pPr>
              <w:pStyle w:val="178"/>
            </w:pPr>
          </w:p>
        </w:tc>
        <w:tc>
          <w:tcPr>
            <w:tcW w:w="1556" w:type="dxa"/>
            <w:shd w:val="clear" w:color="auto" w:fill="auto"/>
            <w:vAlign w:val="center"/>
          </w:tcPr>
          <w:p w14:paraId="078C0983">
            <w:pPr>
              <w:pStyle w:val="178"/>
            </w:pPr>
          </w:p>
        </w:tc>
      </w:tr>
      <w:tr w14:paraId="40523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61BC3D85">
            <w:pPr>
              <w:pStyle w:val="178"/>
            </w:pPr>
          </w:p>
        </w:tc>
        <w:tc>
          <w:tcPr>
            <w:tcW w:w="1556" w:type="dxa"/>
            <w:shd w:val="clear" w:color="auto" w:fill="auto"/>
            <w:vAlign w:val="center"/>
          </w:tcPr>
          <w:p w14:paraId="1566E309">
            <w:pPr>
              <w:pStyle w:val="178"/>
            </w:pPr>
          </w:p>
        </w:tc>
        <w:tc>
          <w:tcPr>
            <w:tcW w:w="1555" w:type="dxa"/>
            <w:shd w:val="clear" w:color="auto" w:fill="auto"/>
            <w:vAlign w:val="center"/>
          </w:tcPr>
          <w:p w14:paraId="1067B8E0">
            <w:pPr>
              <w:pStyle w:val="178"/>
            </w:pPr>
          </w:p>
        </w:tc>
        <w:tc>
          <w:tcPr>
            <w:tcW w:w="1555" w:type="dxa"/>
            <w:shd w:val="clear" w:color="auto" w:fill="auto"/>
            <w:vAlign w:val="center"/>
          </w:tcPr>
          <w:p w14:paraId="19176FDD">
            <w:pPr>
              <w:pStyle w:val="178"/>
            </w:pPr>
          </w:p>
        </w:tc>
        <w:tc>
          <w:tcPr>
            <w:tcW w:w="1556" w:type="dxa"/>
            <w:shd w:val="clear" w:color="auto" w:fill="auto"/>
            <w:vAlign w:val="center"/>
          </w:tcPr>
          <w:p w14:paraId="5FB426C9">
            <w:pPr>
              <w:pStyle w:val="178"/>
            </w:pPr>
          </w:p>
        </w:tc>
        <w:tc>
          <w:tcPr>
            <w:tcW w:w="1556" w:type="dxa"/>
            <w:shd w:val="clear" w:color="auto" w:fill="auto"/>
            <w:vAlign w:val="center"/>
          </w:tcPr>
          <w:p w14:paraId="2E59A262">
            <w:pPr>
              <w:pStyle w:val="178"/>
            </w:pPr>
          </w:p>
        </w:tc>
      </w:tr>
      <w:tr w14:paraId="12F77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shd w:val="clear" w:color="auto" w:fill="auto"/>
            <w:vAlign w:val="center"/>
          </w:tcPr>
          <w:p w14:paraId="7F721DC5">
            <w:pPr>
              <w:pStyle w:val="178"/>
            </w:pPr>
          </w:p>
        </w:tc>
        <w:tc>
          <w:tcPr>
            <w:tcW w:w="1556" w:type="dxa"/>
            <w:shd w:val="clear" w:color="auto" w:fill="auto"/>
            <w:vAlign w:val="center"/>
          </w:tcPr>
          <w:p w14:paraId="65082373">
            <w:pPr>
              <w:pStyle w:val="178"/>
            </w:pPr>
          </w:p>
        </w:tc>
        <w:tc>
          <w:tcPr>
            <w:tcW w:w="1555" w:type="dxa"/>
            <w:shd w:val="clear" w:color="auto" w:fill="auto"/>
            <w:vAlign w:val="center"/>
          </w:tcPr>
          <w:p w14:paraId="58AF47C8">
            <w:pPr>
              <w:pStyle w:val="178"/>
            </w:pPr>
          </w:p>
        </w:tc>
        <w:tc>
          <w:tcPr>
            <w:tcW w:w="1555" w:type="dxa"/>
            <w:shd w:val="clear" w:color="auto" w:fill="auto"/>
            <w:vAlign w:val="center"/>
          </w:tcPr>
          <w:p w14:paraId="19F38B23">
            <w:pPr>
              <w:pStyle w:val="178"/>
            </w:pPr>
          </w:p>
        </w:tc>
        <w:tc>
          <w:tcPr>
            <w:tcW w:w="1556" w:type="dxa"/>
            <w:shd w:val="clear" w:color="auto" w:fill="auto"/>
            <w:vAlign w:val="center"/>
          </w:tcPr>
          <w:p w14:paraId="3D1F5492">
            <w:pPr>
              <w:pStyle w:val="178"/>
            </w:pPr>
          </w:p>
        </w:tc>
        <w:tc>
          <w:tcPr>
            <w:tcW w:w="1556" w:type="dxa"/>
            <w:shd w:val="clear" w:color="auto" w:fill="auto"/>
            <w:vAlign w:val="center"/>
          </w:tcPr>
          <w:p w14:paraId="26011B34">
            <w:pPr>
              <w:pStyle w:val="178"/>
            </w:pPr>
          </w:p>
        </w:tc>
      </w:tr>
    </w:tbl>
    <w:p w14:paraId="71EC409D">
      <w:pPr>
        <w:pStyle w:val="78"/>
        <w:keepNext w:val="0"/>
        <w:keepLines w:val="0"/>
        <w:pageBreakBefore w:val="0"/>
        <w:widowControl w:val="0"/>
        <w:kinsoku/>
        <w:wordWrap/>
        <w:overflowPunct/>
        <w:topLinePunct w:val="0"/>
        <w:autoSpaceDE/>
        <w:autoSpaceDN/>
        <w:bidi w:val="0"/>
        <w:adjustRightInd/>
        <w:snapToGrid/>
        <w:spacing w:before="313" w:beforeLines="100" w:after="156"/>
        <w:textAlignment w:val="auto"/>
        <w:rPr>
          <w:rFonts w:hint="eastAsia"/>
        </w:rPr>
      </w:pPr>
      <w:r>
        <w:rPr>
          <w:rFonts w:hint="eastAsia"/>
        </w:rPr>
        <w:t>无害化处理记录</w:t>
      </w:r>
    </w:p>
    <w:p w14:paraId="36FF4EBC">
      <w:pPr>
        <w:pStyle w:val="56"/>
        <w:keepNext w:val="0"/>
        <w:keepLines w:val="0"/>
        <w:pageBreakBefore w:val="0"/>
        <w:widowControl/>
        <w:kinsoku/>
        <w:wordWrap/>
        <w:overflowPunct/>
        <w:topLinePunct w:val="0"/>
        <w:autoSpaceDE w:val="0"/>
        <w:autoSpaceDN w:val="0"/>
        <w:bidi w:val="0"/>
        <w:adjustRightInd/>
        <w:snapToGrid/>
        <w:spacing w:before="157" w:beforeLines="50"/>
        <w:ind w:firstLine="420"/>
        <w:textAlignment w:val="auto"/>
      </w:pPr>
      <w:r>
        <w:rPr>
          <w:rFonts w:hint="eastAsia"/>
        </w:rPr>
        <w:t>无害化处理记录见表F.2。</w:t>
      </w:r>
    </w:p>
    <w:p w14:paraId="76270241">
      <w:pPr>
        <w:pStyle w:val="77"/>
        <w:spacing w:before="156" w:after="156"/>
      </w:pPr>
      <w:r>
        <w:rPr>
          <w:rFonts w:hint="eastAsia"/>
        </w:rPr>
        <w:t>无害化处理记录表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20B7D9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8" w:space="0"/>
              <w:bottom w:val="single" w:color="auto" w:sz="8" w:space="0"/>
            </w:tcBorders>
            <w:shd w:val="clear" w:color="auto" w:fill="auto"/>
          </w:tcPr>
          <w:p w14:paraId="3877DE77">
            <w:pPr>
              <w:pStyle w:val="178"/>
            </w:pPr>
            <w:r>
              <w:rPr>
                <w:rFonts w:hint="eastAsia"/>
              </w:rPr>
              <w:t>时间</w:t>
            </w:r>
          </w:p>
        </w:tc>
        <w:tc>
          <w:tcPr>
            <w:tcW w:w="1867" w:type="dxa"/>
            <w:tcBorders>
              <w:top w:val="single" w:color="auto" w:sz="8" w:space="0"/>
              <w:bottom w:val="single" w:color="auto" w:sz="8" w:space="0"/>
            </w:tcBorders>
            <w:shd w:val="clear" w:color="auto" w:fill="auto"/>
          </w:tcPr>
          <w:p w14:paraId="626A45F5">
            <w:pPr>
              <w:pStyle w:val="178"/>
            </w:pPr>
            <w:r>
              <w:rPr>
                <w:rFonts w:hint="eastAsia"/>
              </w:rPr>
              <w:t>圈舍号</w:t>
            </w:r>
          </w:p>
        </w:tc>
        <w:tc>
          <w:tcPr>
            <w:tcW w:w="1867" w:type="dxa"/>
            <w:tcBorders>
              <w:top w:val="single" w:color="auto" w:sz="8" w:space="0"/>
              <w:bottom w:val="single" w:color="auto" w:sz="8" w:space="0"/>
            </w:tcBorders>
            <w:shd w:val="clear" w:color="auto" w:fill="auto"/>
          </w:tcPr>
          <w:p w14:paraId="42CB3D70">
            <w:pPr>
              <w:pStyle w:val="178"/>
            </w:pPr>
            <w:r>
              <w:rPr>
                <w:rFonts w:hint="eastAsia"/>
              </w:rPr>
              <w:t>处理原因</w:t>
            </w:r>
          </w:p>
        </w:tc>
        <w:tc>
          <w:tcPr>
            <w:tcW w:w="1867" w:type="dxa"/>
            <w:tcBorders>
              <w:top w:val="single" w:color="auto" w:sz="8" w:space="0"/>
              <w:bottom w:val="single" w:color="auto" w:sz="8" w:space="0"/>
            </w:tcBorders>
            <w:shd w:val="clear" w:color="auto" w:fill="auto"/>
          </w:tcPr>
          <w:p w14:paraId="66C22541">
            <w:pPr>
              <w:pStyle w:val="178"/>
            </w:pPr>
            <w:r>
              <w:rPr>
                <w:rFonts w:hint="eastAsia"/>
              </w:rPr>
              <w:t>处理方式</w:t>
            </w:r>
          </w:p>
        </w:tc>
        <w:tc>
          <w:tcPr>
            <w:tcW w:w="1867" w:type="dxa"/>
            <w:tcBorders>
              <w:top w:val="single" w:color="auto" w:sz="8" w:space="0"/>
              <w:bottom w:val="single" w:color="auto" w:sz="8" w:space="0"/>
            </w:tcBorders>
            <w:shd w:val="clear" w:color="auto" w:fill="auto"/>
          </w:tcPr>
          <w:p w14:paraId="06BA78E9">
            <w:pPr>
              <w:pStyle w:val="178"/>
            </w:pPr>
            <w:r>
              <w:rPr>
                <w:rFonts w:hint="eastAsia"/>
              </w:rPr>
              <w:t>经手人</w:t>
            </w:r>
          </w:p>
        </w:tc>
      </w:tr>
      <w:tr w14:paraId="75A610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8" w:space="0"/>
            </w:tcBorders>
            <w:shd w:val="clear" w:color="auto" w:fill="auto"/>
            <w:vAlign w:val="center"/>
          </w:tcPr>
          <w:p w14:paraId="185DA2D8">
            <w:pPr>
              <w:pStyle w:val="178"/>
            </w:pPr>
          </w:p>
        </w:tc>
        <w:tc>
          <w:tcPr>
            <w:tcW w:w="1867" w:type="dxa"/>
            <w:tcBorders>
              <w:top w:val="single" w:color="auto" w:sz="8" w:space="0"/>
            </w:tcBorders>
            <w:shd w:val="clear" w:color="auto" w:fill="auto"/>
            <w:vAlign w:val="center"/>
          </w:tcPr>
          <w:p w14:paraId="70B54EBD">
            <w:pPr>
              <w:pStyle w:val="178"/>
            </w:pPr>
          </w:p>
        </w:tc>
        <w:tc>
          <w:tcPr>
            <w:tcW w:w="1867" w:type="dxa"/>
            <w:tcBorders>
              <w:top w:val="single" w:color="auto" w:sz="8" w:space="0"/>
            </w:tcBorders>
            <w:shd w:val="clear" w:color="auto" w:fill="auto"/>
            <w:vAlign w:val="center"/>
          </w:tcPr>
          <w:p w14:paraId="35D8535D">
            <w:pPr>
              <w:pStyle w:val="178"/>
            </w:pPr>
          </w:p>
        </w:tc>
        <w:tc>
          <w:tcPr>
            <w:tcW w:w="1867" w:type="dxa"/>
            <w:tcBorders>
              <w:top w:val="single" w:color="auto" w:sz="8" w:space="0"/>
            </w:tcBorders>
            <w:shd w:val="clear" w:color="auto" w:fill="auto"/>
            <w:vAlign w:val="center"/>
          </w:tcPr>
          <w:p w14:paraId="4722DB09">
            <w:pPr>
              <w:pStyle w:val="178"/>
            </w:pPr>
          </w:p>
        </w:tc>
        <w:tc>
          <w:tcPr>
            <w:tcW w:w="1867" w:type="dxa"/>
            <w:tcBorders>
              <w:top w:val="single" w:color="auto" w:sz="8" w:space="0"/>
            </w:tcBorders>
            <w:shd w:val="clear" w:color="auto" w:fill="auto"/>
            <w:vAlign w:val="center"/>
          </w:tcPr>
          <w:p w14:paraId="6C23F4A2">
            <w:pPr>
              <w:pStyle w:val="178"/>
            </w:pPr>
          </w:p>
        </w:tc>
      </w:tr>
      <w:tr w14:paraId="5C3BE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2A4E09DC">
            <w:pPr>
              <w:pStyle w:val="178"/>
            </w:pPr>
          </w:p>
        </w:tc>
        <w:tc>
          <w:tcPr>
            <w:tcW w:w="1867" w:type="dxa"/>
            <w:shd w:val="clear" w:color="auto" w:fill="auto"/>
            <w:vAlign w:val="center"/>
          </w:tcPr>
          <w:p w14:paraId="5C81427F">
            <w:pPr>
              <w:pStyle w:val="178"/>
            </w:pPr>
          </w:p>
        </w:tc>
        <w:tc>
          <w:tcPr>
            <w:tcW w:w="1867" w:type="dxa"/>
            <w:shd w:val="clear" w:color="auto" w:fill="auto"/>
            <w:vAlign w:val="center"/>
          </w:tcPr>
          <w:p w14:paraId="5F274C68">
            <w:pPr>
              <w:pStyle w:val="178"/>
            </w:pPr>
          </w:p>
        </w:tc>
        <w:tc>
          <w:tcPr>
            <w:tcW w:w="1867" w:type="dxa"/>
            <w:shd w:val="clear" w:color="auto" w:fill="auto"/>
            <w:vAlign w:val="center"/>
          </w:tcPr>
          <w:p w14:paraId="3B9E98A6">
            <w:pPr>
              <w:pStyle w:val="178"/>
            </w:pPr>
          </w:p>
        </w:tc>
        <w:tc>
          <w:tcPr>
            <w:tcW w:w="1867" w:type="dxa"/>
            <w:shd w:val="clear" w:color="auto" w:fill="auto"/>
            <w:vAlign w:val="center"/>
          </w:tcPr>
          <w:p w14:paraId="157557E5">
            <w:pPr>
              <w:pStyle w:val="178"/>
            </w:pPr>
          </w:p>
        </w:tc>
      </w:tr>
      <w:tr w14:paraId="5985D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16F4CFF8">
            <w:pPr>
              <w:pStyle w:val="178"/>
            </w:pPr>
          </w:p>
        </w:tc>
        <w:tc>
          <w:tcPr>
            <w:tcW w:w="1867" w:type="dxa"/>
            <w:shd w:val="clear" w:color="auto" w:fill="auto"/>
            <w:vAlign w:val="center"/>
          </w:tcPr>
          <w:p w14:paraId="66652C55">
            <w:pPr>
              <w:pStyle w:val="178"/>
            </w:pPr>
          </w:p>
        </w:tc>
        <w:tc>
          <w:tcPr>
            <w:tcW w:w="1867" w:type="dxa"/>
            <w:shd w:val="clear" w:color="auto" w:fill="auto"/>
            <w:vAlign w:val="center"/>
          </w:tcPr>
          <w:p w14:paraId="58093174">
            <w:pPr>
              <w:pStyle w:val="178"/>
            </w:pPr>
          </w:p>
        </w:tc>
        <w:tc>
          <w:tcPr>
            <w:tcW w:w="1867" w:type="dxa"/>
            <w:shd w:val="clear" w:color="auto" w:fill="auto"/>
            <w:vAlign w:val="center"/>
          </w:tcPr>
          <w:p w14:paraId="1897F2EB">
            <w:pPr>
              <w:pStyle w:val="178"/>
            </w:pPr>
          </w:p>
        </w:tc>
        <w:tc>
          <w:tcPr>
            <w:tcW w:w="1867" w:type="dxa"/>
            <w:shd w:val="clear" w:color="auto" w:fill="auto"/>
            <w:vAlign w:val="center"/>
          </w:tcPr>
          <w:p w14:paraId="5F949ADC">
            <w:pPr>
              <w:pStyle w:val="178"/>
            </w:pPr>
          </w:p>
        </w:tc>
      </w:tr>
      <w:tr w14:paraId="688A2F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1582A25C">
            <w:pPr>
              <w:pStyle w:val="178"/>
            </w:pPr>
          </w:p>
        </w:tc>
        <w:tc>
          <w:tcPr>
            <w:tcW w:w="1867" w:type="dxa"/>
            <w:shd w:val="clear" w:color="auto" w:fill="auto"/>
            <w:vAlign w:val="center"/>
          </w:tcPr>
          <w:p w14:paraId="18DA7168">
            <w:pPr>
              <w:pStyle w:val="178"/>
            </w:pPr>
          </w:p>
        </w:tc>
        <w:tc>
          <w:tcPr>
            <w:tcW w:w="1867" w:type="dxa"/>
            <w:shd w:val="clear" w:color="auto" w:fill="auto"/>
            <w:vAlign w:val="center"/>
          </w:tcPr>
          <w:p w14:paraId="0DA81A56">
            <w:pPr>
              <w:pStyle w:val="178"/>
            </w:pPr>
          </w:p>
        </w:tc>
        <w:tc>
          <w:tcPr>
            <w:tcW w:w="1867" w:type="dxa"/>
            <w:shd w:val="clear" w:color="auto" w:fill="auto"/>
            <w:vAlign w:val="center"/>
          </w:tcPr>
          <w:p w14:paraId="17B21F78">
            <w:pPr>
              <w:pStyle w:val="178"/>
            </w:pPr>
          </w:p>
        </w:tc>
        <w:tc>
          <w:tcPr>
            <w:tcW w:w="1867" w:type="dxa"/>
            <w:shd w:val="clear" w:color="auto" w:fill="auto"/>
            <w:vAlign w:val="center"/>
          </w:tcPr>
          <w:p w14:paraId="5A52E5A4">
            <w:pPr>
              <w:pStyle w:val="178"/>
            </w:pPr>
          </w:p>
        </w:tc>
      </w:tr>
      <w:tr w14:paraId="773B9B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shd w:val="clear" w:color="auto" w:fill="auto"/>
            <w:vAlign w:val="center"/>
          </w:tcPr>
          <w:p w14:paraId="2813327B">
            <w:pPr>
              <w:pStyle w:val="178"/>
            </w:pPr>
          </w:p>
        </w:tc>
        <w:tc>
          <w:tcPr>
            <w:tcW w:w="1867" w:type="dxa"/>
            <w:shd w:val="clear" w:color="auto" w:fill="auto"/>
            <w:vAlign w:val="center"/>
          </w:tcPr>
          <w:p w14:paraId="09BE1BE1">
            <w:pPr>
              <w:pStyle w:val="178"/>
            </w:pPr>
          </w:p>
        </w:tc>
        <w:tc>
          <w:tcPr>
            <w:tcW w:w="1867" w:type="dxa"/>
            <w:shd w:val="clear" w:color="auto" w:fill="auto"/>
            <w:vAlign w:val="center"/>
          </w:tcPr>
          <w:p w14:paraId="552BF9C1">
            <w:pPr>
              <w:pStyle w:val="178"/>
            </w:pPr>
          </w:p>
        </w:tc>
        <w:tc>
          <w:tcPr>
            <w:tcW w:w="1867" w:type="dxa"/>
            <w:shd w:val="clear" w:color="auto" w:fill="auto"/>
            <w:vAlign w:val="center"/>
          </w:tcPr>
          <w:p w14:paraId="7299FFA0">
            <w:pPr>
              <w:pStyle w:val="178"/>
            </w:pPr>
          </w:p>
        </w:tc>
        <w:tc>
          <w:tcPr>
            <w:tcW w:w="1867" w:type="dxa"/>
            <w:shd w:val="clear" w:color="auto" w:fill="auto"/>
            <w:vAlign w:val="center"/>
          </w:tcPr>
          <w:p w14:paraId="36F21AAF">
            <w:pPr>
              <w:pStyle w:val="178"/>
            </w:pPr>
          </w:p>
        </w:tc>
      </w:tr>
    </w:tbl>
    <w:p w14:paraId="50D26742">
      <w:pPr>
        <w:pStyle w:val="56"/>
        <w:ind w:firstLine="420"/>
      </w:pPr>
    </w:p>
    <w:p w14:paraId="79C7C205">
      <w:pPr>
        <w:pStyle w:val="56"/>
        <w:ind w:firstLine="420"/>
      </w:pPr>
    </w:p>
    <w:bookmarkEnd w:id="44"/>
    <w:p w14:paraId="39A662E9">
      <w:pPr>
        <w:pStyle w:val="56"/>
        <w:ind w:firstLine="0" w:firstLineChars="0"/>
        <w:jc w:val="center"/>
      </w:pPr>
      <w:bookmarkStart w:id="45" w:name="BookMark8"/>
      <w:r>
        <w:drawing>
          <wp:inline distT="0" distB="0" distL="0" distR="0">
            <wp:extent cx="1485900" cy="317500"/>
            <wp:effectExtent l="0" t="0" r="7620" b="2540"/>
            <wp:docPr id="784087788" name="图片 1"/>
            <wp:cNvGraphicFramePr/>
            <a:graphic xmlns:a="http://schemas.openxmlformats.org/drawingml/2006/main">
              <a:graphicData uri="http://schemas.openxmlformats.org/drawingml/2006/picture">
                <pic:pic xmlns:pic="http://schemas.openxmlformats.org/drawingml/2006/picture">
                  <pic:nvPicPr>
                    <pic:cNvPr id="784087788"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p w14:paraId="748C43D2">
      <w:pPr>
        <w:pStyle w:val="56"/>
        <w:keepNext w:val="0"/>
        <w:keepLines w:val="0"/>
        <w:pageBreakBefore w:val="0"/>
        <w:widowControl/>
        <w:kinsoku/>
        <w:wordWrap/>
        <w:overflowPunct/>
        <w:topLinePunct w:val="0"/>
        <w:autoSpaceDE w:val="0"/>
        <w:autoSpaceDN w:val="0"/>
        <w:bidi w:val="0"/>
        <w:adjustRightInd/>
        <w:snapToGrid/>
        <w:spacing w:before="157" w:beforeLines="50" w:after="157" w:afterLines="50"/>
        <w:ind w:firstLine="420"/>
        <w:textAlignment w:val="auto"/>
        <w:rPr>
          <w:rFonts w:hint="eastAsia"/>
        </w:rPr>
      </w:pPr>
    </w:p>
    <w:p w14:paraId="039FF0AE">
      <w:pPr>
        <w:pStyle w:val="162"/>
        <w:keepNext w:val="0"/>
        <w:keepLines w:val="0"/>
        <w:pageBreakBefore w:val="0"/>
        <w:numPr>
          <w:ilvl w:val="2"/>
          <w:numId w:val="0"/>
        </w:numPr>
        <w:kinsoku/>
        <w:wordWrap/>
        <w:overflowPunct/>
        <w:topLinePunct w:val="0"/>
        <w:bidi w:val="0"/>
        <w:adjustRightInd/>
        <w:snapToGrid/>
        <w:spacing w:before="157" w:beforeLines="50" w:after="157" w:afterLines="50"/>
        <w:ind w:leftChars="0"/>
        <w:textAlignment w:val="auto"/>
        <w:rPr>
          <w:rFonts w:hint="eastAsia"/>
        </w:rPr>
      </w:pPr>
    </w:p>
    <w:p w14:paraId="1370B07D">
      <w:pPr>
        <w:pStyle w:val="56"/>
        <w:keepNext w:val="0"/>
        <w:keepLines w:val="0"/>
        <w:pageBreakBefore w:val="0"/>
        <w:kinsoku/>
        <w:wordWrap/>
        <w:overflowPunct/>
        <w:topLinePunct w:val="0"/>
        <w:bidi w:val="0"/>
        <w:adjustRightInd/>
        <w:snapToGrid/>
        <w:spacing w:before="157" w:beforeLines="50" w:after="157" w:afterLines="50"/>
        <w:ind w:firstLine="0" w:firstLineChars="0"/>
        <w:jc w:val="center"/>
        <w:textAlignment w:val="auto"/>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3E50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7AEB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DCEE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F9720">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14D1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B68D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D8E9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20A2D">
    <w:pPr>
      <w:pStyle w:val="61"/>
    </w:pPr>
    <w:r>
      <w:fldChar w:fldCharType="begin"/>
    </w:r>
    <w:r>
      <w:instrText xml:space="preserve"> STYLEREF  标准文件_文件编号  \* MERGEFORMAT </w:instrText>
    </w:r>
    <w:r>
      <w:fldChar w:fldCharType="separate"/>
    </w:r>
    <w:r>
      <w:t>DB 61/T XXX.1—2024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18893">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61/T XXX.1—2024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1"/>
      <w:suff w:val="nothing"/>
      <w:lvlText w:val="%1　"/>
      <w:lvlJc w:val="left"/>
      <w:pPr>
        <w:ind w:left="567" w:firstLine="0"/>
      </w:pPr>
      <w:rPr>
        <w:rFonts w:hint="eastAsia" w:ascii="黑体" w:hAnsi="Times New Roman" w:eastAsia="黑体"/>
        <w:b w:val="0"/>
        <w:i w:val="0"/>
        <w:sz w:val="21"/>
        <w:szCs w:val="21"/>
      </w:rPr>
    </w:lvl>
    <w:lvl w:ilvl="1" w:tentative="0">
      <w:start w:val="1"/>
      <w:numFmt w:val="decimal"/>
      <w:pStyle w:val="23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4"/>
      <w:suff w:val="nothing"/>
      <w:lvlText w:val="%1.%2.%3　"/>
      <w:lvlJc w:val="left"/>
      <w:pPr>
        <w:ind w:left="0" w:firstLine="0"/>
      </w:pPr>
      <w:rPr>
        <w:rFonts w:hint="eastAsia" w:ascii="黑体" w:hAnsi="Times New Roman" w:eastAsia="黑体"/>
        <w:b w:val="0"/>
        <w:i w:val="0"/>
        <w:color w:val="auto"/>
        <w:sz w:val="21"/>
      </w:rPr>
    </w:lvl>
    <w:lvl w:ilvl="3" w:tentative="0">
      <w:start w:val="1"/>
      <w:numFmt w:val="decimal"/>
      <w:pStyle w:val="236"/>
      <w:suff w:val="nothing"/>
      <w:lvlText w:val="%1.%2.%3.%4　"/>
      <w:lvlJc w:val="left"/>
      <w:pPr>
        <w:ind w:left="2835" w:firstLine="0"/>
      </w:pPr>
      <w:rPr>
        <w:rFonts w:hint="eastAsia" w:ascii="宋体" w:hAnsi="宋体" w:eastAsia="宋体"/>
        <w:b w:val="0"/>
        <w:bCs w:val="0"/>
        <w:i w:val="0"/>
        <w:iCs w:val="0"/>
        <w:caps w:val="0"/>
        <w:smallCaps w:val="0"/>
        <w:strike w:val="0"/>
        <w:dstrike w:val="0"/>
        <w:color w:val="auto"/>
        <w:spacing w:val="0"/>
        <w:w w:val="100"/>
        <w:kern w:val="0"/>
        <w:position w:val="0"/>
        <w:sz w:val="21"/>
        <w:u w:val="none"/>
        <w:shd w:val="clear" w:color="auto" w:fill="auto"/>
        <w:vertAlign w:val="baseline"/>
      </w:rPr>
    </w:lvl>
    <w:lvl w:ilvl="4" w:tentative="0">
      <w:start w:val="1"/>
      <w:numFmt w:val="decimal"/>
      <w:pStyle w:val="235"/>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attachedTemplate r:id="rId1"/>
  <w:documentProtection w:edit="forms" w:enforcement="1" w:cryptProviderType="rsaAES" w:cryptAlgorithmClass="hash" w:cryptAlgorithmType="typeAny" w:cryptAlgorithmSid="14" w:cryptSpinCount="100000" w:hash="cfIBDRk6SMPc0csGgW+7IbaqoXienp14GAimUSNDzgVtUgjJNPgRungww+LiO+elPGW+uj2Rc8vhgEpGUgZXTg==" w:salt="eS7+3SbbccEPvIQ/XEJ0/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RkMTdlNDVjN2JiZmNjYmNhNDg2ZWJhMjBmYzgxYjcifQ=="/>
  </w:docVars>
  <w:rsids>
    <w:rsidRoot w:val="0099462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177"/>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425"/>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95C"/>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1EA"/>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8C9"/>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9D2"/>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723"/>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80B"/>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4D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6F9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622"/>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55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7A"/>
    <w:rsid w:val="00AE37E5"/>
    <w:rsid w:val="00AE5EB4"/>
    <w:rsid w:val="00AF0C18"/>
    <w:rsid w:val="00AF47C5"/>
    <w:rsid w:val="00AF5398"/>
    <w:rsid w:val="00AF53FC"/>
    <w:rsid w:val="00B049AF"/>
    <w:rsid w:val="00B07242"/>
    <w:rsid w:val="00B10534"/>
    <w:rsid w:val="00B113DB"/>
    <w:rsid w:val="00B11D8A"/>
    <w:rsid w:val="00B12981"/>
    <w:rsid w:val="00B147DD"/>
    <w:rsid w:val="00B156FD"/>
    <w:rsid w:val="00B21F61"/>
    <w:rsid w:val="00B231CE"/>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B5C"/>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4187C"/>
    <w:rsid w:val="048D65BC"/>
    <w:rsid w:val="068B5117"/>
    <w:rsid w:val="0D8847BD"/>
    <w:rsid w:val="0FD74FE4"/>
    <w:rsid w:val="13440994"/>
    <w:rsid w:val="17165B63"/>
    <w:rsid w:val="1EEB4358"/>
    <w:rsid w:val="20F915DA"/>
    <w:rsid w:val="354A5F74"/>
    <w:rsid w:val="39033156"/>
    <w:rsid w:val="39D73BCA"/>
    <w:rsid w:val="3BBC60A6"/>
    <w:rsid w:val="49391E05"/>
    <w:rsid w:val="4A5C1240"/>
    <w:rsid w:val="5E63717F"/>
    <w:rsid w:val="62017F8A"/>
    <w:rsid w:val="62AF1C11"/>
    <w:rsid w:val="6BF62E51"/>
    <w:rsid w:val="6DBE1750"/>
    <w:rsid w:val="6DD633A7"/>
    <w:rsid w:val="70D171F6"/>
    <w:rsid w:val="773E7F41"/>
    <w:rsid w:val="7A826373"/>
    <w:rsid w:val="7F460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autoRedefine/>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autoRedefine/>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章标题"/>
    <w:next w:val="230"/>
    <w:autoRedefine/>
    <w:qFormat/>
    <w:uiPriority w:val="0"/>
    <w:pPr>
      <w:numPr>
        <w:ilvl w:val="0"/>
        <w:numId w:val="32"/>
      </w:numPr>
      <w:spacing w:before="312" w:beforeLines="100" w:after="312" w:afterLines="100"/>
      <w:ind w:left="0"/>
      <w:jc w:val="both"/>
      <w:outlineLvl w:val="1"/>
    </w:pPr>
    <w:rPr>
      <w:rFonts w:ascii="黑体" w:hAnsi="Times New Roman" w:eastAsia="黑体" w:cs="Times New Roman"/>
      <w:sz w:val="21"/>
      <w:lang w:val="en-US" w:eastAsia="zh-CN" w:bidi="ar-SA"/>
    </w:rPr>
  </w:style>
  <w:style w:type="paragraph" w:customStyle="1" w:styleId="232">
    <w:name w:val="一级无"/>
    <w:basedOn w:val="233"/>
    <w:autoRedefine/>
    <w:qFormat/>
    <w:uiPriority w:val="0"/>
    <w:pPr>
      <w:spacing w:before="0" w:beforeLines="0" w:after="0" w:afterLines="0"/>
    </w:pPr>
    <w:rPr>
      <w:rFonts w:ascii="宋体" w:eastAsia="宋体"/>
    </w:rPr>
  </w:style>
  <w:style w:type="paragraph" w:customStyle="1" w:styleId="233">
    <w:name w:val="一级条标题"/>
    <w:next w:val="230"/>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二级条标题"/>
    <w:basedOn w:val="233"/>
    <w:next w:val="230"/>
    <w:autoRedefine/>
    <w:qFormat/>
    <w:uiPriority w:val="0"/>
    <w:pPr>
      <w:numPr>
        <w:ilvl w:val="2"/>
      </w:numPr>
      <w:spacing w:before="50" w:after="50"/>
      <w:outlineLvl w:val="3"/>
    </w:pPr>
  </w:style>
  <w:style w:type="paragraph" w:customStyle="1" w:styleId="235">
    <w:name w:val="四级条标题"/>
    <w:basedOn w:val="236"/>
    <w:next w:val="230"/>
    <w:autoRedefine/>
    <w:qFormat/>
    <w:uiPriority w:val="0"/>
    <w:pPr>
      <w:numPr>
        <w:ilvl w:val="4"/>
      </w:numPr>
      <w:outlineLvl w:val="5"/>
    </w:pPr>
  </w:style>
  <w:style w:type="paragraph" w:customStyle="1" w:styleId="236">
    <w:name w:val="三级条标题"/>
    <w:basedOn w:val="234"/>
    <w:next w:val="230"/>
    <w:autoRedefine/>
    <w:qFormat/>
    <w:uiPriority w:val="0"/>
    <w:pPr>
      <w:numPr>
        <w:ilvl w:val="3"/>
      </w:numPr>
      <w:outlineLvl w:val="4"/>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DF7A215B164402A31EE5946EE3A26F"/>
        <w:style w:val=""/>
        <w:category>
          <w:name w:val="常规"/>
          <w:gallery w:val="placeholder"/>
        </w:category>
        <w:types>
          <w:type w:val="bbPlcHdr"/>
        </w:types>
        <w:behaviors>
          <w:behavior w:val="content"/>
        </w:behaviors>
        <w:description w:val=""/>
        <w:guid w:val="{6B082B84-4867-485C-B497-1ABADCA5239F}"/>
      </w:docPartPr>
      <w:docPartBody>
        <w:p w14:paraId="4A1F1DE3">
          <w:pPr>
            <w:pStyle w:val="5"/>
          </w:pPr>
          <w:r>
            <w:rPr>
              <w:rStyle w:val="4"/>
              <w:rFonts w:hint="eastAsia"/>
            </w:rPr>
            <w:t>单击或点击此处输入文字。</w:t>
          </w:r>
        </w:p>
      </w:docPartBody>
    </w:docPart>
    <w:docPart>
      <w:docPartPr>
        <w:name w:val="1918E368AEB54CBB94FDDD017CBFABC0"/>
        <w:style w:val=""/>
        <w:category>
          <w:name w:val="常规"/>
          <w:gallery w:val="placeholder"/>
        </w:category>
        <w:types>
          <w:type w:val="bbPlcHdr"/>
        </w:types>
        <w:behaviors>
          <w:behavior w:val="content"/>
        </w:behaviors>
        <w:description w:val=""/>
        <w:guid w:val="{9952DE24-BBAB-4B07-B4BC-ECEB45EF50EF}"/>
      </w:docPartPr>
      <w:docPartBody>
        <w:p w14:paraId="32EC5E31">
          <w:pPr>
            <w:pStyle w:val="6"/>
          </w:pPr>
          <w:r>
            <w:rPr>
              <w:rStyle w:val="4"/>
              <w:rFonts w:hint="eastAsia"/>
            </w:rPr>
            <w:t>选择一项。</w:t>
          </w:r>
        </w:p>
      </w:docPartBody>
    </w:docPart>
    <w:docPart>
      <w:docPartPr>
        <w:name w:val="FEEA317CDF4D40E2A88349D177EE68A4"/>
        <w:style w:val=""/>
        <w:category>
          <w:name w:val="常规"/>
          <w:gallery w:val="placeholder"/>
        </w:category>
        <w:types>
          <w:type w:val="bbPlcHdr"/>
        </w:types>
        <w:behaviors>
          <w:behavior w:val="content"/>
        </w:behaviors>
        <w:description w:val=""/>
        <w:guid w:val="{9372325D-371F-42CB-8AA6-F84F101D9C68}"/>
      </w:docPartPr>
      <w:docPartBody>
        <w:p w14:paraId="4D54B140">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5D0"/>
    <w:rsid w:val="00230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0DF7A215B164402A31EE5946EE3A26F"/>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1918E368AEB54CBB94FDDD017CBFABC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EEA317CDF4D40E2A88349D177EE68A4"/>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5283</Words>
  <Characters>6091</Characters>
  <Lines>229</Lines>
  <Paragraphs>206</Paragraphs>
  <TotalTime>0</TotalTime>
  <ScaleCrop>false</ScaleCrop>
  <LinksUpToDate>false</LinksUpToDate>
  <CharactersWithSpaces>6395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2024-03-23T02:03:00Z</dcterms:created>
  <dc:creator>xc</dc:creator>
  <dc:description>&lt;config cover="true" show_menu="true" version="1.0.0" doctype="SDKXY"&gt;_x000d_
&lt;/config&gt;</dc:description>
  <cp:lastModifiedBy>车利锋</cp:lastModifiedBy>
  <cp:lastPrinted>2024-03-23T02:34:00Z</cp:lastPrinted>
  <dcterms:modified xsi:type="dcterms:W3CDTF">2025-05-23T00:53:31Z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387737C690994B15B050050625D372F2_12</vt:lpwstr>
  </property>
  <property fmtid="{D5CDD505-2E9C-101B-9397-08002B2CF9AE}" pid="16" name="KSOTemplateDocerSaveRecord">
    <vt:lpwstr>eyJoZGlkIjoiYjRkMTdlNDVjN2JiZmNjYmNhNDg2ZWJhMjBmYzgxYjciLCJ1c2VySWQiOiIxNTcyMTE2NTk0In0=</vt:lpwstr>
  </property>
</Properties>
</file>